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DF" w:rsidRPr="001F5FDF" w:rsidRDefault="00CA5214" w:rsidP="001F5FDF">
      <w:pPr>
        <w:jc w:val="center"/>
        <w:rPr>
          <w:b/>
        </w:rPr>
      </w:pPr>
      <w:r w:rsidRPr="00CA5214">
        <w:rPr>
          <w:b/>
          <w:color w:val="FF0000"/>
        </w:rPr>
        <w:t>DRAFT</w:t>
      </w:r>
      <w:r>
        <w:rPr>
          <w:b/>
        </w:rPr>
        <w:t xml:space="preserve"> </w:t>
      </w:r>
      <w:r w:rsidR="001F5FDF" w:rsidRPr="001F5FDF">
        <w:rPr>
          <w:b/>
        </w:rPr>
        <w:t>Worksheet</w:t>
      </w:r>
      <w:r w:rsidR="00942965">
        <w:rPr>
          <w:b/>
        </w:rPr>
        <w:t xml:space="preserve"> for Deve</w:t>
      </w:r>
      <w:r w:rsidR="00C00E69">
        <w:rPr>
          <w:b/>
        </w:rPr>
        <w:t xml:space="preserve">loping Administrative Goals, </w:t>
      </w:r>
      <w:r w:rsidR="00942965">
        <w:rPr>
          <w:b/>
        </w:rPr>
        <w:t>Outcomes</w:t>
      </w:r>
      <w:r w:rsidR="00C00E69">
        <w:rPr>
          <w:b/>
        </w:rPr>
        <w:t xml:space="preserve"> and Assessment Plan</w:t>
      </w:r>
    </w:p>
    <w:p w:rsidR="003C385F" w:rsidRDefault="00AA19EB" w:rsidP="00C00E69">
      <w:pPr>
        <w:spacing w:line="240" w:lineRule="auto"/>
      </w:pPr>
      <w:r>
        <w:rPr>
          <w:b/>
        </w:rPr>
        <w:t>Step 1:   Provide your m</w:t>
      </w:r>
      <w:r w:rsidR="003C385F" w:rsidRPr="00AA19EB">
        <w:rPr>
          <w:b/>
        </w:rPr>
        <w:t>ission.</w:t>
      </w:r>
      <w:r w:rsidR="003C385F">
        <w:t xml:space="preserve"> </w:t>
      </w:r>
      <w:r w:rsidR="000D569B">
        <w:t xml:space="preserve">In few sentences </w:t>
      </w:r>
      <w:r>
        <w:t>describe w</w:t>
      </w:r>
      <w:r w:rsidR="003C385F">
        <w:t>hat your unit does</w:t>
      </w:r>
      <w:r w:rsidR="000C093D">
        <w:t>,</w:t>
      </w:r>
      <w:r w:rsidR="003C385F">
        <w:t xml:space="preserve"> for whom, and how. </w:t>
      </w:r>
      <w:r w:rsidR="00896D83">
        <w:t xml:space="preserve"> If your unit doesn’t yet have a mission, proceed to Step 2</w:t>
      </w:r>
      <w:r w:rsidR="00896D83">
        <w:rPr>
          <w:rStyle w:val="FootnoteReference"/>
        </w:rPr>
        <w:footnoteReference w:id="1"/>
      </w:r>
      <w:r w:rsidR="00896D83">
        <w:t>.</w:t>
      </w:r>
    </w:p>
    <w:p w:rsidR="0017032B" w:rsidRDefault="00AA19EB" w:rsidP="00C00E69">
      <w:pPr>
        <w:spacing w:line="240" w:lineRule="auto"/>
      </w:pPr>
      <w:r w:rsidRPr="00AA19EB">
        <w:rPr>
          <w:b/>
        </w:rPr>
        <w:t>Step 2:</w:t>
      </w:r>
      <w:r>
        <w:t xml:space="preserve"> </w:t>
      </w:r>
      <w:r w:rsidR="00896D83" w:rsidRPr="00492A6E">
        <w:rPr>
          <w:b/>
        </w:rPr>
        <w:t>Articulate routine activities/tasks.</w:t>
      </w:r>
      <w:r w:rsidR="00896D83">
        <w:t xml:space="preserve"> Develop a list of the routine activities/tasks/services your unit performs to meet its mission and, in turn, the mission of your division and UC Merced. For each activity/task, name the recipient(s) of this support (i.e. the targeted ‘customer/s’).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51"/>
        <w:gridCol w:w="5251"/>
      </w:tblGrid>
      <w:tr w:rsidR="001F5FDF" w:rsidTr="00E67D4B">
        <w:tc>
          <w:tcPr>
            <w:tcW w:w="2500" w:type="pct"/>
          </w:tcPr>
          <w:p w:rsidR="001F5FDF" w:rsidRPr="001F5FDF" w:rsidRDefault="001F5FDF" w:rsidP="001F5FDF">
            <w:pPr>
              <w:jc w:val="center"/>
              <w:rPr>
                <w:b/>
              </w:rPr>
            </w:pPr>
            <w:r w:rsidRPr="001F5FDF">
              <w:rPr>
                <w:b/>
              </w:rPr>
              <w:t>Activities/Tasks</w:t>
            </w:r>
          </w:p>
        </w:tc>
        <w:tc>
          <w:tcPr>
            <w:tcW w:w="2500" w:type="pct"/>
          </w:tcPr>
          <w:p w:rsidR="001F5FDF" w:rsidRPr="001F5FDF" w:rsidRDefault="001F5FDF" w:rsidP="00A65AC1">
            <w:pPr>
              <w:jc w:val="center"/>
              <w:rPr>
                <w:b/>
              </w:rPr>
            </w:pPr>
            <w:r w:rsidRPr="001F5FDF">
              <w:rPr>
                <w:b/>
              </w:rPr>
              <w:t>To whom is this support provided?</w:t>
            </w:r>
            <w:r>
              <w:rPr>
                <w:b/>
              </w:rPr>
              <w:t xml:space="preserve"> (</w:t>
            </w:r>
            <w:r w:rsidR="00A65AC1">
              <w:rPr>
                <w:b/>
              </w:rPr>
              <w:t>Customer</w:t>
            </w:r>
            <w:r>
              <w:rPr>
                <w:b/>
              </w:rPr>
              <w:t>)</w:t>
            </w:r>
          </w:p>
        </w:tc>
      </w:tr>
      <w:tr w:rsidR="001F5FDF" w:rsidTr="00E67D4B">
        <w:tc>
          <w:tcPr>
            <w:tcW w:w="2500" w:type="pct"/>
          </w:tcPr>
          <w:p w:rsidR="001F5FDF" w:rsidRDefault="001F5FDF"/>
        </w:tc>
        <w:tc>
          <w:tcPr>
            <w:tcW w:w="2500" w:type="pct"/>
          </w:tcPr>
          <w:p w:rsidR="001F5FDF" w:rsidRDefault="001F5FDF"/>
        </w:tc>
      </w:tr>
      <w:tr w:rsidR="001F5FDF" w:rsidTr="00E67D4B">
        <w:tc>
          <w:tcPr>
            <w:tcW w:w="2500" w:type="pct"/>
          </w:tcPr>
          <w:p w:rsidR="001F5FDF" w:rsidRDefault="001F5FDF"/>
        </w:tc>
        <w:tc>
          <w:tcPr>
            <w:tcW w:w="2500" w:type="pct"/>
          </w:tcPr>
          <w:p w:rsidR="001F5FDF" w:rsidRDefault="001F5FDF"/>
        </w:tc>
      </w:tr>
      <w:tr w:rsidR="001F5FDF" w:rsidTr="00E67D4B">
        <w:tc>
          <w:tcPr>
            <w:tcW w:w="2500" w:type="pct"/>
          </w:tcPr>
          <w:p w:rsidR="001F5FDF" w:rsidRDefault="001F5FDF"/>
        </w:tc>
        <w:tc>
          <w:tcPr>
            <w:tcW w:w="2500" w:type="pct"/>
          </w:tcPr>
          <w:p w:rsidR="001F5FDF" w:rsidRDefault="001F5FDF"/>
        </w:tc>
      </w:tr>
      <w:tr w:rsidR="001F5FDF" w:rsidTr="00E67D4B">
        <w:tc>
          <w:tcPr>
            <w:tcW w:w="2500" w:type="pct"/>
          </w:tcPr>
          <w:p w:rsidR="001F5FDF" w:rsidRDefault="001F5FDF"/>
        </w:tc>
        <w:tc>
          <w:tcPr>
            <w:tcW w:w="2500" w:type="pct"/>
          </w:tcPr>
          <w:p w:rsidR="001F5FDF" w:rsidRDefault="001F5FDF"/>
        </w:tc>
      </w:tr>
    </w:tbl>
    <w:p w:rsidR="00896D83" w:rsidRDefault="0017032B" w:rsidP="00E8284E">
      <w:pPr>
        <w:spacing w:before="240"/>
      </w:pPr>
      <w:r>
        <w:t xml:space="preserve"> </w:t>
      </w:r>
      <w:r w:rsidR="00AA19EB">
        <w:rPr>
          <w:b/>
        </w:rPr>
        <w:t xml:space="preserve">Step 3:  </w:t>
      </w:r>
      <w:r w:rsidR="000A3F1D" w:rsidRPr="00AA19EB">
        <w:rPr>
          <w:b/>
        </w:rPr>
        <w:t>Develop s</w:t>
      </w:r>
      <w:r w:rsidR="001F5FDF" w:rsidRPr="00AA19EB">
        <w:rPr>
          <w:b/>
        </w:rPr>
        <w:t>ervice goals.</w:t>
      </w:r>
      <w:r w:rsidR="001F5FDF">
        <w:t xml:space="preserve"> </w:t>
      </w:r>
    </w:p>
    <w:p w:rsidR="00237A55" w:rsidRDefault="00896D83" w:rsidP="007001F6">
      <w:pPr>
        <w:spacing w:line="240" w:lineRule="auto"/>
      </w:pPr>
      <w:r w:rsidRPr="0081172F">
        <w:t>Goals are broad statements that describe priorities and intentions of an administrative unit; what the unit intends to do</w:t>
      </w:r>
      <w:r w:rsidR="00160237">
        <w:t xml:space="preserve"> in broad brushstrokes</w:t>
      </w:r>
      <w:r w:rsidRPr="0081172F">
        <w:t>.</w:t>
      </w:r>
      <w:r>
        <w:rPr>
          <w:rStyle w:val="FootnoteReference"/>
        </w:rPr>
        <w:footnoteReference w:id="2"/>
      </w:r>
      <w:r w:rsidRPr="0081172F">
        <w:t xml:space="preserve">  </w:t>
      </w:r>
      <w:r w:rsidR="00160237">
        <w:t xml:space="preserve">In doing so, goals describe the core functions through which the mission is achieved. </w:t>
      </w:r>
      <w:r w:rsidR="00237A55" w:rsidRPr="00584405">
        <w:t>Service Goals</w:t>
      </w:r>
      <w:r w:rsidR="00237A55">
        <w:t xml:space="preserve"> </w:t>
      </w:r>
      <w:r w:rsidR="00237A55" w:rsidRPr="007001F6">
        <w:rPr>
          <w:color w:val="4F81BD" w:themeColor="accent1"/>
        </w:rPr>
        <w:t>(1) identify the recipients of the service</w:t>
      </w:r>
      <w:r w:rsidR="00F55AE1">
        <w:t xml:space="preserve"> and</w:t>
      </w:r>
      <w:r w:rsidR="00237A55">
        <w:t xml:space="preserve"> </w:t>
      </w:r>
      <w:r w:rsidR="00237A55" w:rsidRPr="007001F6">
        <w:rPr>
          <w:color w:val="9BBB59" w:themeColor="accent3"/>
        </w:rPr>
        <w:t>(2) describe a core service/function of a unit</w:t>
      </w:r>
      <w:r w:rsidR="00F55AE1">
        <w:t>. They may also describe</w:t>
      </w:r>
      <w:r w:rsidR="00237A55" w:rsidRPr="00584405">
        <w:t xml:space="preserve"> </w:t>
      </w:r>
      <w:r w:rsidR="00237A55" w:rsidRPr="004F4771">
        <w:rPr>
          <w:color w:val="8064A2" w:themeColor="accent4"/>
        </w:rPr>
        <w:t>(3) intended</w:t>
      </w:r>
      <w:r w:rsidR="008C5109">
        <w:rPr>
          <w:color w:val="8064A2" w:themeColor="accent4"/>
        </w:rPr>
        <w:t xml:space="preserve"> measurable</w:t>
      </w:r>
      <w:r w:rsidR="00237A55" w:rsidRPr="004F4771">
        <w:rPr>
          <w:color w:val="8064A2" w:themeColor="accent4"/>
        </w:rPr>
        <w:t xml:space="preserve"> qualities of the service </w:t>
      </w:r>
      <w:r w:rsidR="00237A55">
        <w:t>(e.g. timeliness</w:t>
      </w:r>
      <w:r w:rsidR="00237A55" w:rsidRPr="0094303B">
        <w:rPr>
          <w:color w:val="8064A2" w:themeColor="accent4"/>
        </w:rPr>
        <w:t xml:space="preserve">). </w:t>
      </w:r>
      <w:r w:rsidR="00F55AE1" w:rsidRPr="0094303B">
        <w:rPr>
          <w:color w:val="8064A2" w:themeColor="accent4"/>
        </w:rPr>
        <w:t>Alternatively these qualities may be described through the associated outcomes statements</w:t>
      </w:r>
      <w:r w:rsidR="00767C8F">
        <w:t xml:space="preserve"> (see step 4).</w:t>
      </w:r>
    </w:p>
    <w:p w:rsidR="00160237" w:rsidRDefault="00160237" w:rsidP="00160237">
      <w:pPr>
        <w:spacing w:line="240" w:lineRule="auto"/>
        <w:ind w:left="720" w:right="72" w:hanging="360"/>
      </w:pPr>
      <w:r>
        <w:t xml:space="preserve">Ex. </w:t>
      </w:r>
      <w:r w:rsidRPr="00AA19EB">
        <w:rPr>
          <w:i/>
        </w:rPr>
        <w:t>Service Goal for Academic Personnel</w:t>
      </w:r>
      <w:r>
        <w:t xml:space="preserve">: </w:t>
      </w:r>
      <w:r>
        <w:rPr>
          <w:color w:val="4F81BD" w:themeColor="accent1"/>
        </w:rPr>
        <w:t>F</w:t>
      </w:r>
      <w:r w:rsidRPr="00CF5DCB">
        <w:rPr>
          <w:color w:val="4F81BD" w:themeColor="accent1"/>
        </w:rPr>
        <w:t xml:space="preserve">or </w:t>
      </w:r>
      <w:r>
        <w:rPr>
          <w:color w:val="4F81BD" w:themeColor="accent1"/>
        </w:rPr>
        <w:t>Senate and non-Senate</w:t>
      </w:r>
      <w:r w:rsidRPr="00CF5DCB">
        <w:rPr>
          <w:color w:val="4F81BD" w:themeColor="accent1"/>
        </w:rPr>
        <w:t xml:space="preserve"> faculty</w:t>
      </w:r>
      <w:r>
        <w:rPr>
          <w:color w:val="4F81BD" w:themeColor="accent1"/>
        </w:rPr>
        <w:t>,</w:t>
      </w:r>
      <w:r>
        <w:rPr>
          <w:color w:val="9BBB59" w:themeColor="accent3"/>
        </w:rPr>
        <w:t xml:space="preserve"> facilitate</w:t>
      </w:r>
      <w:r w:rsidRPr="00CF5DCB">
        <w:rPr>
          <w:color w:val="9BBB59" w:themeColor="accent3"/>
        </w:rPr>
        <w:t xml:space="preserve"> merit and tenure review processes, providing logistical support and </w:t>
      </w:r>
      <w:r w:rsidR="007766DC">
        <w:rPr>
          <w:color w:val="9BBB59" w:themeColor="accent3"/>
        </w:rPr>
        <w:t>policy and process</w:t>
      </w:r>
      <w:r w:rsidRPr="00CF5DCB">
        <w:rPr>
          <w:color w:val="9BBB59" w:themeColor="accent3"/>
        </w:rPr>
        <w:t xml:space="preserve"> expertise. </w:t>
      </w:r>
    </w:p>
    <w:p w:rsidR="007001F6" w:rsidRDefault="007001F6" w:rsidP="007001F6">
      <w:pPr>
        <w:spacing w:line="240" w:lineRule="auto"/>
      </w:pPr>
      <w:r w:rsidRPr="00D04B8D">
        <w:rPr>
          <w:i/>
        </w:rPr>
        <w:t>To develop your unit’s service goals</w:t>
      </w:r>
      <w:r>
        <w:t xml:space="preserve">, review the list of tasks and customers </w:t>
      </w:r>
      <w:r w:rsidR="00A91214">
        <w:t xml:space="preserve">generated in step 2 </w:t>
      </w:r>
      <w:r>
        <w:t>and group tasks by similar purpose and/or by customer. For each grouping, draft an overarching goal statement that describes the service delivered through the listed tasks/</w:t>
      </w:r>
      <w:r w:rsidRPr="0081172F">
        <w:t>activities.</w:t>
      </w:r>
      <w:r>
        <w:t xml:space="preserve">   A unit might expect to have 3 to 5 service goals. Complex units will have more.</w:t>
      </w:r>
    </w:p>
    <w:p w:rsidR="00D04B8D" w:rsidRDefault="0081172F" w:rsidP="00D04B8D">
      <w:pPr>
        <w:spacing w:after="0" w:line="240" w:lineRule="auto"/>
      </w:pPr>
      <w:r>
        <w:rPr>
          <w:b/>
        </w:rPr>
        <w:t xml:space="preserve">Step 4:  </w:t>
      </w:r>
      <w:r w:rsidR="00AA19EB" w:rsidRPr="0081172F">
        <w:rPr>
          <w:b/>
        </w:rPr>
        <w:t>D</w:t>
      </w:r>
      <w:r w:rsidR="000A3F1D" w:rsidRPr="0081172F">
        <w:rPr>
          <w:b/>
        </w:rPr>
        <w:t>evelop</w:t>
      </w:r>
      <w:r w:rsidR="00A77835" w:rsidRPr="0081172F">
        <w:rPr>
          <w:b/>
        </w:rPr>
        <w:t xml:space="preserve"> outcomes</w:t>
      </w:r>
      <w:r w:rsidR="000B6826">
        <w:rPr>
          <w:b/>
        </w:rPr>
        <w:t xml:space="preserve"> and </w:t>
      </w:r>
      <w:r w:rsidR="00D04B8D">
        <w:rPr>
          <w:b/>
        </w:rPr>
        <w:t xml:space="preserve">identify evidence (data) to demonstrate achievement of outcomes. </w:t>
      </w:r>
    </w:p>
    <w:p w:rsidR="00D04B8D" w:rsidRDefault="000A3F1D" w:rsidP="00C00E69">
      <w:pPr>
        <w:spacing w:line="240" w:lineRule="auto"/>
      </w:pPr>
      <w:r w:rsidRPr="000A3F1D">
        <w:t xml:space="preserve">An outcome is a precise statement that describes the </w:t>
      </w:r>
      <w:r w:rsidR="00D04B8D">
        <w:t xml:space="preserve">intended </w:t>
      </w:r>
      <w:r w:rsidR="00A91214">
        <w:t>impact or</w:t>
      </w:r>
      <w:r w:rsidR="00A91214" w:rsidRPr="000A3F1D">
        <w:t xml:space="preserve"> </w:t>
      </w:r>
      <w:r w:rsidRPr="000A3F1D">
        <w:t>accomplishment</w:t>
      </w:r>
      <w:r w:rsidR="00D04B8D">
        <w:t xml:space="preserve"> of </w:t>
      </w:r>
      <w:r w:rsidRPr="000A3F1D">
        <w:t xml:space="preserve">an administrative unit </w:t>
      </w:r>
      <w:r w:rsidR="00D04B8D">
        <w:t>as a result of</w:t>
      </w:r>
      <w:r w:rsidRPr="000A3F1D">
        <w:t xml:space="preserve"> a core</w:t>
      </w:r>
      <w:r w:rsidR="00D04B8D">
        <w:t xml:space="preserve"> service. An outcome statement is </w:t>
      </w:r>
      <w:r w:rsidRPr="000A3F1D">
        <w:t>derived from a goal and, thus, describe</w:t>
      </w:r>
      <w:r w:rsidR="00D04B8D">
        <w:t>s</w:t>
      </w:r>
      <w:r w:rsidRPr="000A3F1D">
        <w:t xml:space="preserve"> how a unit is fulfilling a purpose outlined by that goal in a </w:t>
      </w:r>
      <w:r w:rsidRPr="0081172F">
        <w:rPr>
          <w:i/>
          <w:iCs/>
        </w:rPr>
        <w:t xml:space="preserve">measurable </w:t>
      </w:r>
      <w:r w:rsidRPr="000A3F1D">
        <w:t xml:space="preserve">way. Put another way, outcome statements animate goals, specifying the manner in which the goal </w:t>
      </w:r>
      <w:r w:rsidR="00D04B8D">
        <w:t>will be</w:t>
      </w:r>
      <w:r w:rsidRPr="000A3F1D">
        <w:t xml:space="preserve"> met and measured. </w:t>
      </w:r>
      <w:r w:rsidR="00A77835" w:rsidRPr="000A3F1D">
        <w:t xml:space="preserve"> </w:t>
      </w:r>
    </w:p>
    <w:p w:rsidR="0094303B" w:rsidRDefault="000A3F1D" w:rsidP="00120E82">
      <w:pPr>
        <w:spacing w:line="240" w:lineRule="auto"/>
      </w:pPr>
      <w:r>
        <w:t>C</w:t>
      </w:r>
      <w:r w:rsidRPr="000A3F1D">
        <w:t>lear and precise outcomes statements</w:t>
      </w:r>
      <w:r>
        <w:t xml:space="preserve"> also</w:t>
      </w:r>
      <w:r w:rsidRPr="000A3F1D">
        <w:t xml:space="preserve"> define specific performance expectations for a unit. In doing so, they </w:t>
      </w:r>
      <w:r w:rsidR="002A1D49">
        <w:t>point to</w:t>
      </w:r>
      <w:r w:rsidR="002A1D49" w:rsidRPr="000A3F1D">
        <w:t xml:space="preserve"> </w:t>
      </w:r>
      <w:r w:rsidRPr="000A3F1D">
        <w:t xml:space="preserve">the kind of data or evidence the unit will collect to ascertain the </w:t>
      </w:r>
      <w:r w:rsidR="00A91214">
        <w:t>extent</w:t>
      </w:r>
      <w:r w:rsidRPr="000A3F1D">
        <w:t xml:space="preserve"> to which the desired outcome has been met. Outcomes should focus on the unit’s critical processes and functions and should be written with the unit’s “customers” in mind.</w:t>
      </w:r>
      <w:r w:rsidRPr="000A3F1D">
        <w:rPr>
          <w:rStyle w:val="FootnoteReference"/>
        </w:rPr>
        <w:t xml:space="preserve"> </w:t>
      </w:r>
      <w:r w:rsidRPr="000A3F1D">
        <w:rPr>
          <w:rStyle w:val="FootnoteReference"/>
        </w:rPr>
        <w:footnoteReference w:id="3"/>
      </w:r>
    </w:p>
    <w:p w:rsidR="004F4771" w:rsidRDefault="000A3F1D" w:rsidP="00120E82">
      <w:pPr>
        <w:spacing w:line="240" w:lineRule="auto"/>
      </w:pPr>
      <w:r w:rsidRPr="000A3F1D">
        <w:t>Generally, a</w:t>
      </w:r>
      <w:r w:rsidR="000B6826">
        <w:t xml:space="preserve"> </w:t>
      </w:r>
      <w:r w:rsidR="00942965">
        <w:t>minimum of</w:t>
      </w:r>
      <w:r w:rsidRPr="000A3F1D">
        <w:t xml:space="preserve"> two outcomes statements </w:t>
      </w:r>
      <w:r w:rsidR="00107222">
        <w:t>are</w:t>
      </w:r>
      <w:r w:rsidRPr="000A3F1D">
        <w:t xml:space="preserve"> necessary</w:t>
      </w:r>
      <w:r w:rsidR="00942965">
        <w:t xml:space="preserve">: </w:t>
      </w:r>
    </w:p>
    <w:p w:rsidR="00486597" w:rsidRPr="004F4771" w:rsidRDefault="00486597" w:rsidP="00486597">
      <w:pPr>
        <w:pStyle w:val="ListParagraph"/>
        <w:numPr>
          <w:ilvl w:val="0"/>
          <w:numId w:val="2"/>
        </w:numPr>
        <w:spacing w:before="240" w:after="120" w:line="240" w:lineRule="auto"/>
        <w:contextualSpacing w:val="0"/>
      </w:pPr>
      <w:r>
        <w:rPr>
          <w:color w:val="4BACC6" w:themeColor="accent5"/>
        </w:rPr>
        <w:t xml:space="preserve">One that addresses </w:t>
      </w:r>
      <w:r w:rsidRPr="0094303B">
        <w:rPr>
          <w:color w:val="4BACC6" w:themeColor="accent5"/>
        </w:rPr>
        <w:t xml:space="preserve">unit processes </w:t>
      </w:r>
      <w:r w:rsidRPr="004F4771">
        <w:t xml:space="preserve">in relation to a desired quality like timeliness, accuracy, responsiveness, etc. </w:t>
      </w:r>
    </w:p>
    <w:p w:rsidR="00486597" w:rsidRDefault="00486597" w:rsidP="00486597">
      <w:pPr>
        <w:pStyle w:val="ListParagraph"/>
        <w:numPr>
          <w:ilvl w:val="0"/>
          <w:numId w:val="2"/>
        </w:numPr>
        <w:spacing w:line="240" w:lineRule="auto"/>
      </w:pPr>
      <w:r>
        <w:rPr>
          <w:color w:val="F79646" w:themeColor="accent6"/>
        </w:rPr>
        <w:t xml:space="preserve">A second </w:t>
      </w:r>
      <w:r w:rsidR="00942965" w:rsidRPr="0094303B">
        <w:rPr>
          <w:color w:val="F79646" w:themeColor="accent6"/>
        </w:rPr>
        <w:t xml:space="preserve">that addresses </w:t>
      </w:r>
      <w:r w:rsidR="000A3F1D" w:rsidRPr="0094303B">
        <w:rPr>
          <w:color w:val="F79646" w:themeColor="accent6"/>
        </w:rPr>
        <w:t xml:space="preserve">customer </w:t>
      </w:r>
      <w:r w:rsidR="000A3F1D" w:rsidRPr="0094303B">
        <w:rPr>
          <w:i/>
          <w:color w:val="F79646" w:themeColor="accent6"/>
        </w:rPr>
        <w:t>satisfaction</w:t>
      </w:r>
      <w:r>
        <w:t xml:space="preserve">. </w:t>
      </w:r>
    </w:p>
    <w:p w:rsidR="00107222" w:rsidRDefault="000223AE" w:rsidP="00486597">
      <w:pPr>
        <w:spacing w:line="240" w:lineRule="auto"/>
        <w:ind w:left="360"/>
      </w:pPr>
      <w:r w:rsidRPr="004F4771">
        <w:lastRenderedPageBreak/>
        <w:t>To develop outcomes, for each service goal complete the following statement</w:t>
      </w:r>
      <w:r w:rsidR="00107222">
        <w:t>:</w:t>
      </w:r>
    </w:p>
    <w:p w:rsidR="00A77835" w:rsidRPr="007766DC" w:rsidRDefault="00107222" w:rsidP="00120E82">
      <w:pPr>
        <w:pStyle w:val="ListParagraph"/>
        <w:spacing w:line="240" w:lineRule="auto"/>
        <w:ind w:left="0"/>
        <w:rPr>
          <w:b/>
        </w:rPr>
      </w:pPr>
      <w:bookmarkStart w:id="0" w:name="_GoBack"/>
      <w:bookmarkEnd w:id="0"/>
      <w:r>
        <w:tab/>
      </w:r>
      <w:r w:rsidR="00A77835" w:rsidRPr="007766DC">
        <w:rPr>
          <w:b/>
        </w:rPr>
        <w:t xml:space="preserve">The [insert unit name] </w:t>
      </w:r>
      <w:r w:rsidR="000223AE" w:rsidRPr="007766DC">
        <w:rPr>
          <w:b/>
        </w:rPr>
        <w:t xml:space="preserve">will have met service goal [insert goal #] </w:t>
      </w:r>
      <w:r w:rsidR="004D2E73" w:rsidRPr="007766DC">
        <w:rPr>
          <w:b/>
        </w:rPr>
        <w:t>when we see that….</w:t>
      </w:r>
    </w:p>
    <w:p w:rsidR="004F4771" w:rsidRPr="004F4771" w:rsidRDefault="004F4771" w:rsidP="004F4771">
      <w:pPr>
        <w:pStyle w:val="ListParagraph"/>
        <w:ind w:left="0"/>
        <w:rPr>
          <w:i/>
        </w:rPr>
      </w:pPr>
    </w:p>
    <w:p w:rsidR="00A77835" w:rsidRDefault="000C093D" w:rsidP="00C00E69">
      <w:pPr>
        <w:pStyle w:val="ListParagraph"/>
        <w:spacing w:line="240" w:lineRule="auto"/>
        <w:ind w:left="0"/>
      </w:pPr>
      <w:r>
        <w:t>Ex</w:t>
      </w:r>
      <w:r w:rsidR="00107222">
        <w:t>ample</w:t>
      </w:r>
      <w:r w:rsidRPr="004F4771">
        <w:rPr>
          <w:i/>
        </w:rPr>
        <w:t xml:space="preserve">. </w:t>
      </w:r>
      <w:r w:rsidR="00A77835" w:rsidRPr="004F4771">
        <w:rPr>
          <w:i/>
        </w:rPr>
        <w:t xml:space="preserve">The </w:t>
      </w:r>
      <w:r w:rsidR="002A1D49" w:rsidRPr="004F4771">
        <w:rPr>
          <w:i/>
        </w:rPr>
        <w:t>Office of Academic Personnel</w:t>
      </w:r>
      <w:r w:rsidR="00A77835" w:rsidRPr="004F4771">
        <w:rPr>
          <w:i/>
        </w:rPr>
        <w:t xml:space="preserve"> will have met</w:t>
      </w:r>
      <w:r w:rsidR="003377C4" w:rsidRPr="004F4771">
        <w:rPr>
          <w:i/>
        </w:rPr>
        <w:t xml:space="preserve"> </w:t>
      </w:r>
      <w:r w:rsidR="002A1D49" w:rsidRPr="004F4771">
        <w:rPr>
          <w:i/>
        </w:rPr>
        <w:t>Goal 1</w:t>
      </w:r>
      <w:r w:rsidR="004D2E73" w:rsidRPr="004F4771">
        <w:rPr>
          <w:i/>
        </w:rPr>
        <w:t xml:space="preserve"> when we see that….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26"/>
        <w:gridCol w:w="4594"/>
        <w:gridCol w:w="1980"/>
        <w:gridCol w:w="1620"/>
        <w:gridCol w:w="1687"/>
      </w:tblGrid>
      <w:tr w:rsidR="0094303B" w:rsidTr="00486597"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03B" w:rsidRPr="003C385F" w:rsidRDefault="0094303B" w:rsidP="002A1D49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186" w:type="pct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94303B" w:rsidRPr="0094303B" w:rsidRDefault="0094303B" w:rsidP="002A1D49">
            <w:pPr>
              <w:pStyle w:val="ListParagraph"/>
              <w:ind w:left="0"/>
              <w:jc w:val="center"/>
              <w:rPr>
                <w:b/>
                <w:sz w:val="21"/>
                <w:szCs w:val="21"/>
              </w:rPr>
            </w:pPr>
            <w:r w:rsidRPr="0094303B">
              <w:rPr>
                <w:b/>
                <w:sz w:val="21"/>
                <w:szCs w:val="21"/>
              </w:rPr>
              <w:t>Outcomes</w:t>
            </w:r>
          </w:p>
        </w:tc>
        <w:tc>
          <w:tcPr>
            <w:tcW w:w="942" w:type="pct"/>
            <w:tcBorders>
              <w:bottom w:val="single" w:sz="12" w:space="0" w:color="auto"/>
            </w:tcBorders>
            <w:vAlign w:val="bottom"/>
          </w:tcPr>
          <w:p w:rsidR="0094303B" w:rsidRPr="0094303B" w:rsidRDefault="0094303B" w:rsidP="002A1D49">
            <w:pPr>
              <w:pStyle w:val="ListParagraph"/>
              <w:ind w:left="0"/>
              <w:jc w:val="center"/>
              <w:rPr>
                <w:b/>
                <w:sz w:val="21"/>
                <w:szCs w:val="21"/>
              </w:rPr>
            </w:pPr>
            <w:r w:rsidRPr="0094303B">
              <w:rPr>
                <w:b/>
                <w:sz w:val="21"/>
                <w:szCs w:val="21"/>
              </w:rPr>
              <w:t>Source of data</w:t>
            </w:r>
          </w:p>
        </w:tc>
        <w:tc>
          <w:tcPr>
            <w:tcW w:w="771" w:type="pct"/>
            <w:tcBorders>
              <w:bottom w:val="single" w:sz="12" w:space="0" w:color="auto"/>
            </w:tcBorders>
            <w:vAlign w:val="bottom"/>
          </w:tcPr>
          <w:p w:rsidR="0094303B" w:rsidRPr="0094303B" w:rsidRDefault="0094303B" w:rsidP="002A1D49">
            <w:pPr>
              <w:pStyle w:val="ListParagraph"/>
              <w:ind w:left="0"/>
              <w:jc w:val="center"/>
              <w:rPr>
                <w:b/>
                <w:sz w:val="21"/>
                <w:szCs w:val="21"/>
              </w:rPr>
            </w:pPr>
            <w:r w:rsidRPr="0094303B">
              <w:rPr>
                <w:b/>
                <w:sz w:val="21"/>
                <w:szCs w:val="21"/>
              </w:rPr>
              <w:t>Frequency of data collection</w:t>
            </w:r>
          </w:p>
        </w:tc>
        <w:tc>
          <w:tcPr>
            <w:tcW w:w="803" w:type="pct"/>
            <w:tcBorders>
              <w:bottom w:val="single" w:sz="12" w:space="0" w:color="auto"/>
            </w:tcBorders>
            <w:vAlign w:val="bottom"/>
          </w:tcPr>
          <w:p w:rsidR="0094303B" w:rsidRPr="0094303B" w:rsidRDefault="0094303B" w:rsidP="0094303B">
            <w:pPr>
              <w:pStyle w:val="ListParagraph"/>
              <w:ind w:left="0"/>
              <w:jc w:val="center"/>
              <w:rPr>
                <w:b/>
                <w:sz w:val="21"/>
                <w:szCs w:val="21"/>
              </w:rPr>
            </w:pPr>
            <w:r w:rsidRPr="0094303B">
              <w:rPr>
                <w:b/>
                <w:sz w:val="21"/>
                <w:szCs w:val="21"/>
              </w:rPr>
              <w:t>Person responsible for data collection</w:t>
            </w:r>
            <w:r>
              <w:rPr>
                <w:b/>
                <w:sz w:val="21"/>
                <w:szCs w:val="21"/>
              </w:rPr>
              <w:t xml:space="preserve">: </w:t>
            </w:r>
            <w:r w:rsidRPr="0094303B">
              <w:rPr>
                <w:b/>
                <w:sz w:val="21"/>
                <w:szCs w:val="21"/>
              </w:rPr>
              <w:t>title</w:t>
            </w:r>
            <w:r>
              <w:rPr>
                <w:b/>
                <w:sz w:val="21"/>
                <w:szCs w:val="21"/>
              </w:rPr>
              <w:t xml:space="preserve"> and name</w:t>
            </w:r>
          </w:p>
        </w:tc>
      </w:tr>
      <w:tr w:rsidR="00486597" w:rsidTr="00486597">
        <w:trPr>
          <w:cantSplit/>
          <w:trHeight w:val="1134"/>
        </w:trPr>
        <w:tc>
          <w:tcPr>
            <w:tcW w:w="298" w:type="pct"/>
            <w:shd w:val="clear" w:color="auto" w:fill="DAEEF3" w:themeFill="accent5" w:themeFillTint="33"/>
            <w:textDirection w:val="btLr"/>
          </w:tcPr>
          <w:p w:rsidR="00486597" w:rsidRPr="0094303B" w:rsidDel="008508BF" w:rsidRDefault="00486597" w:rsidP="00415768">
            <w:pPr>
              <w:pStyle w:val="ListParagraph"/>
              <w:ind w:left="115" w:right="115"/>
              <w:jc w:val="center"/>
              <w:rPr>
                <w:sz w:val="20"/>
                <w:szCs w:val="20"/>
              </w:rPr>
            </w:pPr>
            <w:r w:rsidRPr="0094303B">
              <w:rPr>
                <w:sz w:val="20"/>
                <w:szCs w:val="20"/>
              </w:rPr>
              <w:t>Process: accuracy</w:t>
            </w:r>
          </w:p>
        </w:tc>
        <w:tc>
          <w:tcPr>
            <w:tcW w:w="2186" w:type="pct"/>
            <w:tcBorders>
              <w:top w:val="single" w:sz="12" w:space="0" w:color="auto"/>
            </w:tcBorders>
            <w:vAlign w:val="center"/>
          </w:tcPr>
          <w:p w:rsidR="00486597" w:rsidRPr="0094303B" w:rsidRDefault="00486597" w:rsidP="00415768">
            <w:pPr>
              <w:pStyle w:val="ListParagraph"/>
              <w:ind w:left="0"/>
              <w:rPr>
                <w:sz w:val="21"/>
                <w:szCs w:val="21"/>
              </w:rPr>
            </w:pPr>
            <w:r w:rsidRPr="0094303B">
              <w:rPr>
                <w:sz w:val="21"/>
                <w:szCs w:val="21"/>
              </w:rPr>
              <w:t xml:space="preserve">0% of dossiers are returned because they are </w:t>
            </w:r>
            <w:r w:rsidRPr="0094303B">
              <w:rPr>
                <w:color w:val="8064A2" w:themeColor="accent4"/>
                <w:sz w:val="21"/>
                <w:szCs w:val="21"/>
              </w:rPr>
              <w:t xml:space="preserve">incomplete or otherwise do not meet the requirements of policy or practice.   </w:t>
            </w:r>
          </w:p>
        </w:tc>
        <w:tc>
          <w:tcPr>
            <w:tcW w:w="942" w:type="pct"/>
            <w:tcBorders>
              <w:top w:val="single" w:sz="12" w:space="0" w:color="auto"/>
            </w:tcBorders>
            <w:vAlign w:val="center"/>
          </w:tcPr>
          <w:p w:rsidR="00486597" w:rsidRPr="0094303B" w:rsidRDefault="00486597" w:rsidP="00415768">
            <w:pPr>
              <w:pStyle w:val="ListParagraph"/>
              <w:ind w:left="0"/>
              <w:rPr>
                <w:sz w:val="21"/>
                <w:szCs w:val="21"/>
              </w:rPr>
            </w:pPr>
            <w:r w:rsidRPr="0094303B">
              <w:rPr>
                <w:sz w:val="21"/>
                <w:szCs w:val="21"/>
              </w:rPr>
              <w:t>Case log</w:t>
            </w:r>
          </w:p>
        </w:tc>
        <w:tc>
          <w:tcPr>
            <w:tcW w:w="771" w:type="pct"/>
            <w:tcBorders>
              <w:top w:val="single" w:sz="12" w:space="0" w:color="auto"/>
            </w:tcBorders>
            <w:vAlign w:val="center"/>
          </w:tcPr>
          <w:p w:rsidR="00486597" w:rsidRPr="0094303B" w:rsidRDefault="00486597" w:rsidP="00415768">
            <w:pPr>
              <w:pStyle w:val="ListParagraph"/>
              <w:ind w:left="0"/>
              <w:rPr>
                <w:sz w:val="21"/>
                <w:szCs w:val="21"/>
              </w:rPr>
            </w:pPr>
            <w:r w:rsidRPr="0094303B">
              <w:rPr>
                <w:sz w:val="21"/>
                <w:szCs w:val="21"/>
              </w:rPr>
              <w:t xml:space="preserve">Ongoing. 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vAlign w:val="center"/>
          </w:tcPr>
          <w:p w:rsidR="00486597" w:rsidRPr="0094303B" w:rsidRDefault="00486597" w:rsidP="00415768">
            <w:pPr>
              <w:pStyle w:val="ListParagraph"/>
              <w:ind w:left="0"/>
              <w:rPr>
                <w:sz w:val="21"/>
                <w:szCs w:val="21"/>
              </w:rPr>
            </w:pPr>
            <w:r w:rsidRPr="0094303B">
              <w:rPr>
                <w:sz w:val="21"/>
                <w:szCs w:val="21"/>
              </w:rPr>
              <w:t xml:space="preserve">Analyst, B.P. </w:t>
            </w:r>
          </w:p>
        </w:tc>
      </w:tr>
      <w:tr w:rsidR="00486597" w:rsidTr="00486597">
        <w:trPr>
          <w:trHeight w:val="1292"/>
        </w:trPr>
        <w:tc>
          <w:tcPr>
            <w:tcW w:w="298" w:type="pct"/>
            <w:shd w:val="clear" w:color="auto" w:fill="DAEEF3" w:themeFill="accent5" w:themeFillTint="33"/>
            <w:textDirection w:val="btLr"/>
          </w:tcPr>
          <w:p w:rsidR="00486597" w:rsidRPr="0094303B" w:rsidDel="008508BF" w:rsidRDefault="00486597" w:rsidP="00415768">
            <w:pPr>
              <w:pStyle w:val="ListParagraph"/>
              <w:ind w:left="115" w:right="115"/>
              <w:jc w:val="center"/>
              <w:rPr>
                <w:sz w:val="20"/>
                <w:szCs w:val="20"/>
              </w:rPr>
            </w:pPr>
            <w:r w:rsidRPr="0094303B">
              <w:rPr>
                <w:sz w:val="20"/>
                <w:szCs w:val="20"/>
              </w:rPr>
              <w:t xml:space="preserve">Process: </w:t>
            </w:r>
            <w:r>
              <w:rPr>
                <w:sz w:val="20"/>
                <w:szCs w:val="20"/>
              </w:rPr>
              <w:t>timeliness</w:t>
            </w:r>
          </w:p>
        </w:tc>
        <w:tc>
          <w:tcPr>
            <w:tcW w:w="2186" w:type="pct"/>
            <w:vAlign w:val="center"/>
          </w:tcPr>
          <w:p w:rsidR="00486597" w:rsidRPr="0094303B" w:rsidRDefault="00486597" w:rsidP="00415768">
            <w:pPr>
              <w:pStyle w:val="ListParagraph"/>
              <w:ind w:left="0"/>
              <w:rPr>
                <w:sz w:val="21"/>
                <w:szCs w:val="21"/>
              </w:rPr>
            </w:pPr>
            <w:r w:rsidRPr="0094303B">
              <w:rPr>
                <w:sz w:val="21"/>
                <w:szCs w:val="21"/>
              </w:rPr>
              <w:t xml:space="preserve">95% of cases are submitted, reviewed and decisions rendered </w:t>
            </w:r>
            <w:r w:rsidRPr="0094303B">
              <w:rPr>
                <w:color w:val="8064A2" w:themeColor="accent4"/>
                <w:sz w:val="21"/>
                <w:szCs w:val="21"/>
              </w:rPr>
              <w:t>in keeping with established timelines</w:t>
            </w:r>
            <w:r w:rsidRPr="0094303B">
              <w:rPr>
                <w:sz w:val="21"/>
                <w:szCs w:val="21"/>
              </w:rPr>
              <w:t xml:space="preserve">. </w:t>
            </w:r>
          </w:p>
        </w:tc>
        <w:tc>
          <w:tcPr>
            <w:tcW w:w="942" w:type="pct"/>
            <w:vAlign w:val="center"/>
          </w:tcPr>
          <w:p w:rsidR="00486597" w:rsidRPr="0094303B" w:rsidRDefault="00486597" w:rsidP="00415768">
            <w:pPr>
              <w:pStyle w:val="ListParagraph"/>
              <w:ind w:left="0"/>
              <w:rPr>
                <w:sz w:val="21"/>
                <w:szCs w:val="21"/>
              </w:rPr>
            </w:pPr>
            <w:r w:rsidRPr="0094303B">
              <w:rPr>
                <w:sz w:val="21"/>
                <w:szCs w:val="21"/>
              </w:rPr>
              <w:t>Case log</w:t>
            </w:r>
          </w:p>
        </w:tc>
        <w:tc>
          <w:tcPr>
            <w:tcW w:w="771" w:type="pct"/>
            <w:vAlign w:val="center"/>
          </w:tcPr>
          <w:p w:rsidR="00486597" w:rsidRPr="0094303B" w:rsidRDefault="00486597" w:rsidP="00415768">
            <w:pPr>
              <w:pStyle w:val="ListParagraph"/>
              <w:ind w:left="0"/>
              <w:rPr>
                <w:sz w:val="21"/>
                <w:szCs w:val="21"/>
              </w:rPr>
            </w:pPr>
            <w:r w:rsidRPr="0094303B">
              <w:rPr>
                <w:sz w:val="21"/>
                <w:szCs w:val="21"/>
              </w:rPr>
              <w:t>Ongoing.</w:t>
            </w:r>
          </w:p>
        </w:tc>
        <w:tc>
          <w:tcPr>
            <w:tcW w:w="803" w:type="pct"/>
            <w:vAlign w:val="center"/>
          </w:tcPr>
          <w:p w:rsidR="00486597" w:rsidRPr="0094303B" w:rsidRDefault="00486597" w:rsidP="00415768">
            <w:pPr>
              <w:pStyle w:val="ListParagraph"/>
              <w:ind w:left="0"/>
              <w:rPr>
                <w:sz w:val="21"/>
                <w:szCs w:val="21"/>
              </w:rPr>
            </w:pPr>
            <w:r w:rsidRPr="0094303B">
              <w:rPr>
                <w:sz w:val="21"/>
                <w:szCs w:val="21"/>
              </w:rPr>
              <w:t xml:space="preserve">Specialist, J.D., </w:t>
            </w:r>
          </w:p>
        </w:tc>
      </w:tr>
    </w:tbl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26"/>
        <w:gridCol w:w="4591"/>
        <w:gridCol w:w="1979"/>
        <w:gridCol w:w="1619"/>
        <w:gridCol w:w="1687"/>
      </w:tblGrid>
      <w:tr w:rsidR="0094303B" w:rsidTr="00E8284E">
        <w:trPr>
          <w:cantSplit/>
          <w:trHeight w:val="1979"/>
        </w:trPr>
        <w:tc>
          <w:tcPr>
            <w:tcW w:w="298" w:type="pct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94303B" w:rsidRPr="0094303B" w:rsidRDefault="0094303B" w:rsidP="00943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4303B">
              <w:rPr>
                <w:sz w:val="20"/>
                <w:szCs w:val="20"/>
              </w:rPr>
              <w:t>Satisfaction</w:t>
            </w:r>
          </w:p>
          <w:p w:rsidR="0094303B" w:rsidRPr="0094303B" w:rsidRDefault="0094303B" w:rsidP="0094303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86" w:type="pct"/>
            <w:vAlign w:val="center"/>
          </w:tcPr>
          <w:p w:rsidR="0094303B" w:rsidRPr="0094303B" w:rsidRDefault="0094303B" w:rsidP="00C323DA">
            <w:pPr>
              <w:pStyle w:val="ListParagraph"/>
              <w:ind w:left="0"/>
              <w:rPr>
                <w:sz w:val="21"/>
                <w:szCs w:val="21"/>
              </w:rPr>
            </w:pPr>
            <w:r w:rsidRPr="0094303B">
              <w:rPr>
                <w:sz w:val="21"/>
                <w:szCs w:val="21"/>
              </w:rPr>
              <w:t xml:space="preserve">100% of Senate and non-Senate faculty report being </w:t>
            </w:r>
            <w:r w:rsidRPr="0094303B">
              <w:rPr>
                <w:i/>
                <w:sz w:val="21"/>
                <w:szCs w:val="21"/>
              </w:rPr>
              <w:t>satisfied</w:t>
            </w:r>
            <w:r w:rsidRPr="0094303B">
              <w:rPr>
                <w:sz w:val="21"/>
                <w:szCs w:val="21"/>
              </w:rPr>
              <w:t xml:space="preserve"> or </w:t>
            </w:r>
            <w:r w:rsidRPr="0094303B">
              <w:rPr>
                <w:i/>
                <w:sz w:val="21"/>
                <w:szCs w:val="21"/>
              </w:rPr>
              <w:t>highly satisfi</w:t>
            </w:r>
            <w:r w:rsidRPr="0094303B">
              <w:rPr>
                <w:sz w:val="21"/>
                <w:szCs w:val="21"/>
              </w:rPr>
              <w:t xml:space="preserve">ed with support for developing and submitting their dossiers. </w:t>
            </w:r>
            <w:r w:rsidRPr="0094303B">
              <w:rPr>
                <w:i/>
                <w:color w:val="8064A2" w:themeColor="accent4"/>
                <w:sz w:val="21"/>
                <w:szCs w:val="21"/>
              </w:rPr>
              <w:t>Some intended qualities of support</w:t>
            </w:r>
            <w:r w:rsidRPr="0094303B">
              <w:rPr>
                <w:color w:val="8064A2" w:themeColor="accent4"/>
                <w:sz w:val="21"/>
                <w:szCs w:val="21"/>
              </w:rPr>
              <w:t>: responsive; guidance is timely, clear, and actionable; resources are readily available and helpful; steps and timelines are clear.</w:t>
            </w:r>
          </w:p>
        </w:tc>
        <w:tc>
          <w:tcPr>
            <w:tcW w:w="942" w:type="pct"/>
            <w:vAlign w:val="center"/>
          </w:tcPr>
          <w:p w:rsidR="0094303B" w:rsidRPr="0094303B" w:rsidRDefault="0094303B" w:rsidP="002A1D49">
            <w:pPr>
              <w:pStyle w:val="ListParagraph"/>
              <w:ind w:left="0"/>
              <w:rPr>
                <w:sz w:val="21"/>
                <w:szCs w:val="21"/>
              </w:rPr>
            </w:pPr>
            <w:r w:rsidRPr="0094303B">
              <w:rPr>
                <w:sz w:val="21"/>
                <w:szCs w:val="21"/>
              </w:rPr>
              <w:t>Survey</w:t>
            </w:r>
          </w:p>
        </w:tc>
        <w:tc>
          <w:tcPr>
            <w:tcW w:w="771" w:type="pct"/>
            <w:vAlign w:val="center"/>
          </w:tcPr>
          <w:p w:rsidR="0094303B" w:rsidRPr="0094303B" w:rsidRDefault="0094303B" w:rsidP="002A1D49">
            <w:pPr>
              <w:pStyle w:val="ListParagraph"/>
              <w:ind w:left="0"/>
              <w:rPr>
                <w:sz w:val="21"/>
                <w:szCs w:val="21"/>
              </w:rPr>
            </w:pPr>
            <w:r w:rsidRPr="0094303B">
              <w:rPr>
                <w:sz w:val="21"/>
                <w:szCs w:val="21"/>
              </w:rPr>
              <w:t xml:space="preserve">Ongoing:  Individual faculty members at conclusion of case review process. </w:t>
            </w:r>
          </w:p>
        </w:tc>
        <w:tc>
          <w:tcPr>
            <w:tcW w:w="803" w:type="pct"/>
            <w:vAlign w:val="center"/>
          </w:tcPr>
          <w:p w:rsidR="0094303B" w:rsidRPr="0094303B" w:rsidRDefault="0094303B" w:rsidP="0094303B">
            <w:pPr>
              <w:pStyle w:val="ListParagraph"/>
              <w:ind w:left="0"/>
              <w:rPr>
                <w:sz w:val="21"/>
                <w:szCs w:val="21"/>
              </w:rPr>
            </w:pPr>
            <w:r w:rsidRPr="0094303B">
              <w:rPr>
                <w:sz w:val="21"/>
                <w:szCs w:val="21"/>
              </w:rPr>
              <w:t xml:space="preserve">Director,  J.D. </w:t>
            </w:r>
          </w:p>
        </w:tc>
      </w:tr>
    </w:tbl>
    <w:p w:rsidR="000B6826" w:rsidRDefault="000B6826" w:rsidP="00C00E69">
      <w:pPr>
        <w:spacing w:before="240" w:line="240" w:lineRule="auto"/>
      </w:pPr>
      <w:r>
        <w:t xml:space="preserve">For each service outcome, identify </w:t>
      </w:r>
      <w:r w:rsidRPr="000A3F1D">
        <w:t>the</w:t>
      </w:r>
      <w:r>
        <w:t xml:space="preserve"> source of data or evidence for assessing the degree to which the outcome was achieved,</w:t>
      </w:r>
      <w:r w:rsidRPr="000A3F1D">
        <w:t xml:space="preserve"> when data will be collected, and </w:t>
      </w:r>
      <w:r>
        <w:t xml:space="preserve">the person responsible for the data collection and analysis on behalf of the unit. </w:t>
      </w:r>
    </w:p>
    <w:p w:rsidR="002C6DE3" w:rsidRDefault="002C6DE3" w:rsidP="00120E82">
      <w:pPr>
        <w:pStyle w:val="ListParagraph"/>
        <w:spacing w:line="240" w:lineRule="auto"/>
        <w:ind w:left="0"/>
      </w:pPr>
      <w:r w:rsidRPr="002C6DE3">
        <w:rPr>
          <w:b/>
        </w:rPr>
        <w:t>Step 5:</w:t>
      </w:r>
      <w:r>
        <w:t xml:space="preserve"> </w:t>
      </w:r>
      <w:r w:rsidR="00120E82" w:rsidRPr="00F73D59">
        <w:rPr>
          <w:b/>
        </w:rPr>
        <w:t xml:space="preserve">Complete the assessment plan by </w:t>
      </w:r>
      <w:r w:rsidR="00120E82" w:rsidRPr="00672E83">
        <w:rPr>
          <w:b/>
        </w:rPr>
        <w:t>d</w:t>
      </w:r>
      <w:r w:rsidR="00120E82" w:rsidRPr="00F73D59">
        <w:rPr>
          <w:b/>
        </w:rPr>
        <w:t>evelop</w:t>
      </w:r>
      <w:r w:rsidR="00120E82" w:rsidRPr="00672E83">
        <w:rPr>
          <w:b/>
        </w:rPr>
        <w:t>ing</w:t>
      </w:r>
      <w:r w:rsidR="00120E82">
        <w:rPr>
          <w:b/>
        </w:rPr>
        <w:t xml:space="preserve"> </w:t>
      </w:r>
      <w:r w:rsidR="00120E82" w:rsidRPr="00F73D59">
        <w:rPr>
          <w:b/>
        </w:rPr>
        <w:t>timelines</w:t>
      </w:r>
      <w:r w:rsidR="00120E82">
        <w:t xml:space="preserve">. (a)  Develop a timeline for </w:t>
      </w:r>
      <w:r>
        <w:t xml:space="preserve">the </w:t>
      </w:r>
      <w:r w:rsidRPr="00120E82">
        <w:rPr>
          <w:i/>
        </w:rPr>
        <w:t>annual</w:t>
      </w:r>
      <w:r>
        <w:t xml:space="preserve"> process </w:t>
      </w:r>
      <w:r w:rsidR="00120E82">
        <w:t xml:space="preserve">of assessment </w:t>
      </w:r>
      <w:r>
        <w:t>and</w:t>
      </w:r>
      <w:r w:rsidR="00120E82">
        <w:t xml:space="preserve"> (b) identify</w:t>
      </w:r>
      <w:r>
        <w:t xml:space="preserve"> the year a given goal’s outcomes will be reviewed</w:t>
      </w:r>
      <w:r w:rsidR="00120E82">
        <w:t>/assessed with the work summarized in a report</w:t>
      </w:r>
      <w:r>
        <w:t xml:space="preserve">.  Currently, units are </w:t>
      </w:r>
      <w:hyperlink r:id="rId8" w:history="1">
        <w:r w:rsidR="00120E82" w:rsidRPr="00120E82">
          <w:rPr>
            <w:rStyle w:val="Hyperlink"/>
          </w:rPr>
          <w:t>scheduled</w:t>
        </w:r>
      </w:hyperlink>
      <w:r>
        <w:t xml:space="preserve"> for periodic review, once every seven years; an annual report is not due the year of the review, leaving six annual assessment cycles between each periodic review.</w:t>
      </w:r>
    </w:p>
    <w:p w:rsidR="002C6DE3" w:rsidRDefault="002C6DE3" w:rsidP="00C00E69">
      <w:pPr>
        <w:pStyle w:val="ListParagraph"/>
        <w:spacing w:line="240" w:lineRule="auto"/>
        <w:ind w:left="0"/>
      </w:pPr>
    </w:p>
    <w:p w:rsidR="002C6DE3" w:rsidRDefault="00120E82" w:rsidP="00120E82">
      <w:pPr>
        <w:pStyle w:val="ListParagraph"/>
        <w:numPr>
          <w:ilvl w:val="0"/>
          <w:numId w:val="4"/>
        </w:numPr>
        <w:spacing w:line="240" w:lineRule="auto"/>
      </w:pPr>
      <w:r>
        <w:t>An example of an a</w:t>
      </w:r>
      <w:r w:rsidR="002C6DE3">
        <w:t xml:space="preserve">nnual </w:t>
      </w:r>
      <w:r>
        <w:t>p</w:t>
      </w:r>
      <w:r w:rsidR="002C6DE3">
        <w:t xml:space="preserve">rocess for completing assessment cycle in relation to </w:t>
      </w:r>
      <w:hyperlink r:id="rId9" w:history="1">
        <w:r w:rsidR="002C6DE3" w:rsidRPr="00120E82">
          <w:rPr>
            <w:rStyle w:val="Hyperlink"/>
          </w:rPr>
          <w:t>annual report submission date</w:t>
        </w:r>
      </w:hyperlink>
      <w:r w:rsidR="002C6DE3">
        <w:t>.</w:t>
      </w:r>
    </w:p>
    <w:p w:rsidR="002C6DE3" w:rsidRDefault="002C6DE3" w:rsidP="00C00E69">
      <w:pPr>
        <w:pStyle w:val="ListParagraph"/>
        <w:spacing w:line="240" w:lineRule="auto"/>
        <w:ind w:left="0"/>
      </w:pPr>
      <w:r>
        <w:t xml:space="preserve">_____________ </w:t>
      </w:r>
      <w:r w:rsidR="003167A9">
        <w:t>Annual d</w:t>
      </w:r>
      <w:r>
        <w:t>ate by which assessment data analyzed and summarized</w:t>
      </w:r>
    </w:p>
    <w:p w:rsidR="002C6DE3" w:rsidRDefault="002C6DE3" w:rsidP="00C00E69">
      <w:pPr>
        <w:pStyle w:val="ListParagraph"/>
        <w:spacing w:line="240" w:lineRule="auto"/>
        <w:ind w:left="0"/>
      </w:pPr>
      <w:r>
        <w:t>_____________</w:t>
      </w:r>
      <w:r w:rsidR="00C00E69">
        <w:t xml:space="preserve"> </w:t>
      </w:r>
      <w:r w:rsidR="003167A9">
        <w:t>Annual d</w:t>
      </w:r>
      <w:r>
        <w:t>ate findings discussed by unit and responding actions identified</w:t>
      </w:r>
    </w:p>
    <w:p w:rsidR="002C6DE3" w:rsidRDefault="002C6DE3" w:rsidP="00C00E69">
      <w:pPr>
        <w:pStyle w:val="ListParagraph"/>
        <w:spacing w:line="240" w:lineRule="auto"/>
        <w:ind w:left="0"/>
      </w:pPr>
      <w:r>
        <w:t>_____________</w:t>
      </w:r>
      <w:r w:rsidR="00C00E69">
        <w:t xml:space="preserve"> </w:t>
      </w:r>
      <w:r w:rsidR="003167A9">
        <w:t>Annual d</w:t>
      </w:r>
      <w:r>
        <w:t>ate by which actions are implemented</w:t>
      </w:r>
    </w:p>
    <w:p w:rsidR="002C6DE3" w:rsidRDefault="002C6DE3" w:rsidP="00C00E69">
      <w:pPr>
        <w:pStyle w:val="ListParagraph"/>
        <w:spacing w:line="240" w:lineRule="auto"/>
        <w:ind w:left="0"/>
      </w:pPr>
      <w:r>
        <w:t>_____________</w:t>
      </w:r>
      <w:r w:rsidR="00C00E69">
        <w:t xml:space="preserve"> </w:t>
      </w:r>
      <w:r w:rsidR="003167A9">
        <w:t>Annual d</w:t>
      </w:r>
      <w:r>
        <w:t xml:space="preserve">ate by </w:t>
      </w:r>
      <w:r w:rsidR="00C00E69">
        <w:t xml:space="preserve">which report is submitted to VC or Dean </w:t>
      </w:r>
      <w:r>
        <w:t xml:space="preserve">for review </w:t>
      </w:r>
    </w:p>
    <w:p w:rsidR="002C6DE3" w:rsidRDefault="00C00E69" w:rsidP="00C00E69">
      <w:pPr>
        <w:pStyle w:val="ListParagraph"/>
        <w:spacing w:line="240" w:lineRule="auto"/>
        <w:ind w:left="0"/>
      </w:pPr>
      <w:r>
        <w:t xml:space="preserve">_____________ </w:t>
      </w:r>
      <w:r w:rsidR="003167A9">
        <w:t>Annual d</w:t>
      </w:r>
      <w:r>
        <w:t xml:space="preserve">ate by which VC or Dean forwards report to </w:t>
      </w:r>
      <w:r w:rsidR="00120E82">
        <w:t xml:space="preserve">PROC </w:t>
      </w:r>
      <w:r>
        <w:t>(</w:t>
      </w:r>
      <w:hyperlink r:id="rId10" w:history="1">
        <w:r w:rsidRPr="00120E82">
          <w:rPr>
            <w:rStyle w:val="Hyperlink"/>
          </w:rPr>
          <w:t>annual report submission date</w:t>
        </w:r>
      </w:hyperlink>
      <w:r>
        <w:t>)</w:t>
      </w:r>
    </w:p>
    <w:p w:rsidR="00C00E69" w:rsidRDefault="00C00E69" w:rsidP="002C6DE3">
      <w:pPr>
        <w:pStyle w:val="ListParagraph"/>
        <w:ind w:left="0"/>
      </w:pPr>
    </w:p>
    <w:p w:rsidR="00A77835" w:rsidRDefault="00120E82" w:rsidP="00120E82">
      <w:pPr>
        <w:pStyle w:val="ListParagraph"/>
        <w:numPr>
          <w:ilvl w:val="0"/>
          <w:numId w:val="4"/>
        </w:numPr>
      </w:pPr>
      <w:r>
        <w:t xml:space="preserve">An example of a </w:t>
      </w:r>
      <w:r w:rsidR="002C6DE3">
        <w:t xml:space="preserve">Multi-year Assessment Plan.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4140"/>
      </w:tblGrid>
      <w:tr w:rsidR="002C6DE3" w:rsidTr="002C6DE3">
        <w:tc>
          <w:tcPr>
            <w:tcW w:w="1638" w:type="dxa"/>
          </w:tcPr>
          <w:p w:rsidR="002C6DE3" w:rsidRPr="002C6DE3" w:rsidRDefault="002C6DE3" w:rsidP="002C6DE3">
            <w:pPr>
              <w:pStyle w:val="ListParagraph"/>
              <w:ind w:left="0"/>
              <w:rPr>
                <w:b/>
              </w:rPr>
            </w:pPr>
            <w:r w:rsidRPr="002C6DE3">
              <w:rPr>
                <w:b/>
              </w:rPr>
              <w:t>Year</w:t>
            </w:r>
          </w:p>
        </w:tc>
        <w:tc>
          <w:tcPr>
            <w:tcW w:w="4140" w:type="dxa"/>
          </w:tcPr>
          <w:p w:rsidR="002C6DE3" w:rsidRPr="002C6DE3" w:rsidRDefault="002C6DE3" w:rsidP="002C6DE3">
            <w:pPr>
              <w:pStyle w:val="ListParagraph"/>
              <w:ind w:left="0"/>
              <w:rPr>
                <w:b/>
              </w:rPr>
            </w:pPr>
            <w:r w:rsidRPr="002C6DE3">
              <w:rPr>
                <w:b/>
              </w:rPr>
              <w:t>Goal (and outcomes) Assessed</w:t>
            </w:r>
          </w:p>
        </w:tc>
      </w:tr>
      <w:tr w:rsidR="009D4FBF" w:rsidTr="002C6DE3">
        <w:tc>
          <w:tcPr>
            <w:tcW w:w="1638" w:type="dxa"/>
          </w:tcPr>
          <w:p w:rsidR="009D4FBF" w:rsidRDefault="009D4FBF" w:rsidP="007766DC">
            <w:pPr>
              <w:pStyle w:val="ListParagraph"/>
              <w:ind w:left="0"/>
            </w:pPr>
            <w:r>
              <w:t>2015-16</w:t>
            </w:r>
          </w:p>
        </w:tc>
        <w:tc>
          <w:tcPr>
            <w:tcW w:w="4140" w:type="dxa"/>
          </w:tcPr>
          <w:p w:rsidR="009D4FBF" w:rsidRDefault="009D4FBF" w:rsidP="009D4FBF">
            <w:pPr>
              <w:pStyle w:val="ListParagraph"/>
              <w:ind w:left="0"/>
            </w:pPr>
            <w:r>
              <w:t>Goal 1</w:t>
            </w:r>
          </w:p>
        </w:tc>
      </w:tr>
      <w:tr w:rsidR="009D4FBF" w:rsidTr="002C6DE3">
        <w:tc>
          <w:tcPr>
            <w:tcW w:w="1638" w:type="dxa"/>
          </w:tcPr>
          <w:p w:rsidR="009D4FBF" w:rsidRDefault="009D4FBF" w:rsidP="009D4FBF">
            <w:pPr>
              <w:pStyle w:val="ListParagraph"/>
              <w:ind w:left="0"/>
            </w:pPr>
            <w:r>
              <w:t>2016-17</w:t>
            </w:r>
          </w:p>
        </w:tc>
        <w:tc>
          <w:tcPr>
            <w:tcW w:w="4140" w:type="dxa"/>
          </w:tcPr>
          <w:p w:rsidR="009D4FBF" w:rsidRDefault="009D4FBF" w:rsidP="009D4FBF">
            <w:pPr>
              <w:pStyle w:val="ListParagraph"/>
              <w:ind w:left="0"/>
            </w:pPr>
            <w:r>
              <w:t>Goal 2</w:t>
            </w:r>
          </w:p>
        </w:tc>
      </w:tr>
      <w:tr w:rsidR="009D4FBF" w:rsidTr="002C6DE3">
        <w:tc>
          <w:tcPr>
            <w:tcW w:w="1638" w:type="dxa"/>
          </w:tcPr>
          <w:p w:rsidR="009D4FBF" w:rsidRDefault="009D4FBF" w:rsidP="009D4FBF">
            <w:pPr>
              <w:pStyle w:val="ListParagraph"/>
              <w:ind w:left="0"/>
            </w:pPr>
            <w:r>
              <w:t>2017-18</w:t>
            </w:r>
          </w:p>
        </w:tc>
        <w:tc>
          <w:tcPr>
            <w:tcW w:w="4140" w:type="dxa"/>
          </w:tcPr>
          <w:p w:rsidR="009D4FBF" w:rsidRDefault="009D4FBF" w:rsidP="009D4FBF">
            <w:r w:rsidRPr="004D32F2">
              <w:t xml:space="preserve">Goal </w:t>
            </w:r>
            <w:r>
              <w:t>3</w:t>
            </w:r>
          </w:p>
        </w:tc>
      </w:tr>
      <w:tr w:rsidR="009D4FBF" w:rsidTr="002C6DE3">
        <w:tc>
          <w:tcPr>
            <w:tcW w:w="1638" w:type="dxa"/>
          </w:tcPr>
          <w:p w:rsidR="009D4FBF" w:rsidRDefault="009D4FBF" w:rsidP="009D4FBF">
            <w:pPr>
              <w:pStyle w:val="ListParagraph"/>
              <w:ind w:left="0"/>
            </w:pPr>
            <w:r>
              <w:t>2018-19</w:t>
            </w:r>
          </w:p>
        </w:tc>
        <w:tc>
          <w:tcPr>
            <w:tcW w:w="4140" w:type="dxa"/>
          </w:tcPr>
          <w:p w:rsidR="009D4FBF" w:rsidRDefault="009D4FBF" w:rsidP="009D4FBF">
            <w:r w:rsidRPr="004D32F2">
              <w:t xml:space="preserve">Goal </w:t>
            </w:r>
            <w:r>
              <w:t>4</w:t>
            </w:r>
          </w:p>
        </w:tc>
      </w:tr>
      <w:tr w:rsidR="009D4FBF" w:rsidTr="002C6DE3">
        <w:tc>
          <w:tcPr>
            <w:tcW w:w="1638" w:type="dxa"/>
          </w:tcPr>
          <w:p w:rsidR="009D4FBF" w:rsidRDefault="009D4FBF" w:rsidP="009D4FBF">
            <w:pPr>
              <w:pStyle w:val="ListParagraph"/>
              <w:ind w:left="0"/>
            </w:pPr>
            <w:r>
              <w:t>2019-20</w:t>
            </w:r>
          </w:p>
        </w:tc>
        <w:tc>
          <w:tcPr>
            <w:tcW w:w="4140" w:type="dxa"/>
          </w:tcPr>
          <w:p w:rsidR="009D4FBF" w:rsidRDefault="009D4FBF" w:rsidP="009D4FBF">
            <w:r w:rsidRPr="004D32F2">
              <w:t xml:space="preserve">Goal </w:t>
            </w:r>
            <w:r>
              <w:t>5</w:t>
            </w:r>
          </w:p>
        </w:tc>
      </w:tr>
      <w:tr w:rsidR="009D4FBF" w:rsidTr="002C6DE3">
        <w:tc>
          <w:tcPr>
            <w:tcW w:w="1638" w:type="dxa"/>
          </w:tcPr>
          <w:p w:rsidR="009D4FBF" w:rsidRDefault="009D4FBF" w:rsidP="009D4FBF">
            <w:pPr>
              <w:pStyle w:val="ListParagraph"/>
              <w:ind w:left="0"/>
            </w:pPr>
            <w:r>
              <w:t>2020-21</w:t>
            </w:r>
          </w:p>
        </w:tc>
        <w:tc>
          <w:tcPr>
            <w:tcW w:w="4140" w:type="dxa"/>
          </w:tcPr>
          <w:p w:rsidR="009D4FBF" w:rsidRDefault="009D4FBF" w:rsidP="009D4FBF">
            <w:r w:rsidRPr="004D32F2">
              <w:t xml:space="preserve">Goal </w:t>
            </w:r>
            <w:r>
              <w:t>6</w:t>
            </w:r>
          </w:p>
        </w:tc>
      </w:tr>
    </w:tbl>
    <w:p w:rsidR="009D4FBF" w:rsidRDefault="009D4FBF" w:rsidP="00120E82">
      <w:pPr>
        <w:sectPr w:rsidR="009D4FBF" w:rsidSect="00E8284E">
          <w:headerReference w:type="default" r:id="rId11"/>
          <w:pgSz w:w="12240" w:h="15840"/>
          <w:pgMar w:top="1152" w:right="864" w:bottom="1008" w:left="864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horzAnchor="margin" w:tblpY="525"/>
        <w:tblW w:w="5000" w:type="pct"/>
        <w:tblLook w:val="04A0" w:firstRow="1" w:lastRow="0" w:firstColumn="1" w:lastColumn="0" w:noHBand="0" w:noVBand="1"/>
      </w:tblPr>
      <w:tblGrid>
        <w:gridCol w:w="2245"/>
        <w:gridCol w:w="4050"/>
        <w:gridCol w:w="1171"/>
        <w:gridCol w:w="1710"/>
        <w:gridCol w:w="2048"/>
        <w:gridCol w:w="2302"/>
      </w:tblGrid>
      <w:tr w:rsidR="00E8284E" w:rsidTr="007766DC">
        <w:tc>
          <w:tcPr>
            <w:tcW w:w="830" w:type="pct"/>
            <w:vAlign w:val="bottom"/>
          </w:tcPr>
          <w:p w:rsidR="00E8284E" w:rsidRPr="007766DC" w:rsidRDefault="00E8284E" w:rsidP="00E8284E">
            <w:pPr>
              <w:jc w:val="center"/>
              <w:rPr>
                <w:b/>
              </w:rPr>
            </w:pPr>
            <w:r w:rsidRPr="007766DC">
              <w:rPr>
                <w:b/>
              </w:rPr>
              <w:lastRenderedPageBreak/>
              <w:t>Goal</w:t>
            </w:r>
          </w:p>
        </w:tc>
        <w:tc>
          <w:tcPr>
            <w:tcW w:w="1497" w:type="pct"/>
            <w:vAlign w:val="bottom"/>
          </w:tcPr>
          <w:p w:rsidR="00E8284E" w:rsidRPr="007766DC" w:rsidRDefault="00E8284E" w:rsidP="00E8284E">
            <w:pPr>
              <w:jc w:val="center"/>
              <w:rPr>
                <w:b/>
              </w:rPr>
            </w:pPr>
            <w:r w:rsidRPr="007766DC">
              <w:rPr>
                <w:b/>
              </w:rPr>
              <w:t>Outcome</w:t>
            </w:r>
          </w:p>
        </w:tc>
        <w:tc>
          <w:tcPr>
            <w:tcW w:w="433" w:type="pct"/>
            <w:vAlign w:val="bottom"/>
          </w:tcPr>
          <w:p w:rsidR="00E8284E" w:rsidRPr="007766DC" w:rsidRDefault="00E8284E" w:rsidP="00E8284E">
            <w:pPr>
              <w:jc w:val="center"/>
              <w:rPr>
                <w:b/>
              </w:rPr>
            </w:pPr>
            <w:r w:rsidRPr="007766DC">
              <w:rPr>
                <w:b/>
              </w:rPr>
              <w:t>Source of Data</w:t>
            </w:r>
          </w:p>
        </w:tc>
        <w:tc>
          <w:tcPr>
            <w:tcW w:w="632" w:type="pct"/>
            <w:vAlign w:val="bottom"/>
          </w:tcPr>
          <w:p w:rsidR="00E8284E" w:rsidRPr="007766DC" w:rsidRDefault="00E8284E" w:rsidP="00E8284E">
            <w:pPr>
              <w:jc w:val="center"/>
              <w:rPr>
                <w:b/>
              </w:rPr>
            </w:pPr>
            <w:r w:rsidRPr="007766DC">
              <w:rPr>
                <w:b/>
              </w:rPr>
              <w:t>Frequency of data collection</w:t>
            </w:r>
          </w:p>
        </w:tc>
        <w:tc>
          <w:tcPr>
            <w:tcW w:w="757" w:type="pct"/>
            <w:vAlign w:val="bottom"/>
          </w:tcPr>
          <w:p w:rsidR="00E8284E" w:rsidRPr="0094303B" w:rsidRDefault="00E8284E" w:rsidP="00E8284E">
            <w:pPr>
              <w:pStyle w:val="ListParagraph"/>
              <w:ind w:left="0"/>
              <w:jc w:val="center"/>
              <w:rPr>
                <w:b/>
                <w:sz w:val="21"/>
                <w:szCs w:val="21"/>
              </w:rPr>
            </w:pPr>
            <w:r w:rsidRPr="0094303B">
              <w:rPr>
                <w:b/>
                <w:sz w:val="21"/>
                <w:szCs w:val="21"/>
              </w:rPr>
              <w:t>Person responsible for data collection</w:t>
            </w:r>
            <w:r>
              <w:rPr>
                <w:b/>
                <w:sz w:val="21"/>
                <w:szCs w:val="21"/>
              </w:rPr>
              <w:t xml:space="preserve">: </w:t>
            </w:r>
            <w:r w:rsidRPr="0094303B">
              <w:rPr>
                <w:b/>
                <w:sz w:val="21"/>
                <w:szCs w:val="21"/>
              </w:rPr>
              <w:t>title</w:t>
            </w:r>
            <w:r>
              <w:rPr>
                <w:b/>
                <w:sz w:val="21"/>
                <w:szCs w:val="21"/>
              </w:rPr>
              <w:t xml:space="preserve"> and name</w:t>
            </w:r>
          </w:p>
        </w:tc>
        <w:tc>
          <w:tcPr>
            <w:tcW w:w="851" w:type="pct"/>
            <w:vAlign w:val="bottom"/>
          </w:tcPr>
          <w:p w:rsidR="00E8284E" w:rsidRPr="007766DC" w:rsidRDefault="00E8284E" w:rsidP="00E8284E">
            <w:pPr>
              <w:jc w:val="center"/>
              <w:rPr>
                <w:b/>
              </w:rPr>
            </w:pPr>
            <w:r w:rsidRPr="007766DC">
              <w:rPr>
                <w:b/>
              </w:rPr>
              <w:t>Year Goal Reviewed/Assessed</w:t>
            </w:r>
          </w:p>
        </w:tc>
      </w:tr>
      <w:tr w:rsidR="00E8284E" w:rsidTr="009D4FBF">
        <w:trPr>
          <w:trHeight w:val="1871"/>
        </w:trPr>
        <w:tc>
          <w:tcPr>
            <w:tcW w:w="830" w:type="pct"/>
            <w:vMerge w:val="restart"/>
            <w:vAlign w:val="center"/>
          </w:tcPr>
          <w:p w:rsidR="00E8284E" w:rsidRPr="007766DC" w:rsidRDefault="00E8284E" w:rsidP="00E8284E">
            <w:pPr>
              <w:pStyle w:val="ListParagraph"/>
              <w:numPr>
                <w:ilvl w:val="0"/>
                <w:numId w:val="5"/>
              </w:numPr>
              <w:ind w:left="337" w:hanging="337"/>
              <w:rPr>
                <w:sz w:val="20"/>
                <w:szCs w:val="20"/>
              </w:rPr>
            </w:pPr>
            <w:r w:rsidRPr="007766DC">
              <w:rPr>
                <w:color w:val="4F81BD" w:themeColor="accent1"/>
                <w:sz w:val="20"/>
                <w:szCs w:val="20"/>
              </w:rPr>
              <w:t>For Senate and non-Senate faculty,</w:t>
            </w:r>
            <w:r w:rsidRPr="007766DC">
              <w:rPr>
                <w:color w:val="9BBB59" w:themeColor="accent3"/>
                <w:sz w:val="20"/>
                <w:szCs w:val="20"/>
              </w:rPr>
              <w:t xml:space="preserve"> facilitate merit and tenure review processes, providing logistical support and policy expertise.</w:t>
            </w:r>
          </w:p>
        </w:tc>
        <w:tc>
          <w:tcPr>
            <w:tcW w:w="1497" w:type="pct"/>
            <w:vAlign w:val="center"/>
          </w:tcPr>
          <w:p w:rsidR="00E8284E" w:rsidRPr="007766DC" w:rsidRDefault="00E8284E" w:rsidP="00E8284E">
            <w:pPr>
              <w:rPr>
                <w:sz w:val="20"/>
                <w:szCs w:val="20"/>
              </w:rPr>
            </w:pPr>
            <w:r w:rsidRPr="007766DC">
              <w:rPr>
                <w:sz w:val="20"/>
                <w:szCs w:val="20"/>
              </w:rPr>
              <w:t xml:space="preserve">100% of Senate and non-Senate faculty report being </w:t>
            </w:r>
            <w:r w:rsidRPr="007766DC">
              <w:rPr>
                <w:i/>
                <w:sz w:val="20"/>
                <w:szCs w:val="20"/>
              </w:rPr>
              <w:t>satisfied</w:t>
            </w:r>
            <w:r w:rsidRPr="007766DC">
              <w:rPr>
                <w:sz w:val="20"/>
                <w:szCs w:val="20"/>
              </w:rPr>
              <w:t xml:space="preserve"> or </w:t>
            </w:r>
            <w:r w:rsidRPr="007766DC">
              <w:rPr>
                <w:i/>
                <w:sz w:val="20"/>
                <w:szCs w:val="20"/>
              </w:rPr>
              <w:t>highly satisfi</w:t>
            </w:r>
            <w:r w:rsidRPr="007766DC">
              <w:rPr>
                <w:sz w:val="20"/>
                <w:szCs w:val="20"/>
              </w:rPr>
              <w:t xml:space="preserve">ed with support for developing and submitting their dossiers. </w:t>
            </w:r>
            <w:r w:rsidRPr="007766DC">
              <w:rPr>
                <w:i/>
                <w:color w:val="8064A2" w:themeColor="accent4"/>
                <w:sz w:val="20"/>
                <w:szCs w:val="20"/>
              </w:rPr>
              <w:t>Some intended qualities of support</w:t>
            </w:r>
            <w:r w:rsidRPr="007766DC">
              <w:rPr>
                <w:color w:val="8064A2" w:themeColor="accent4"/>
                <w:sz w:val="20"/>
                <w:szCs w:val="20"/>
              </w:rPr>
              <w:t>: responsive; guidance is timely, clear, and actionable; resources are readily available and helpful; steps and timelines are clear.</w:t>
            </w:r>
          </w:p>
        </w:tc>
        <w:tc>
          <w:tcPr>
            <w:tcW w:w="433" w:type="pct"/>
            <w:vAlign w:val="center"/>
          </w:tcPr>
          <w:p w:rsidR="00E8284E" w:rsidRPr="007766DC" w:rsidRDefault="00E8284E" w:rsidP="00E8284E">
            <w:pPr>
              <w:rPr>
                <w:sz w:val="20"/>
                <w:szCs w:val="20"/>
              </w:rPr>
            </w:pPr>
            <w:r w:rsidRPr="007766DC">
              <w:rPr>
                <w:sz w:val="20"/>
                <w:szCs w:val="20"/>
              </w:rPr>
              <w:t>Survey</w:t>
            </w:r>
          </w:p>
        </w:tc>
        <w:tc>
          <w:tcPr>
            <w:tcW w:w="632" w:type="pct"/>
            <w:vAlign w:val="center"/>
          </w:tcPr>
          <w:p w:rsidR="00E8284E" w:rsidRPr="007766DC" w:rsidRDefault="00E8284E" w:rsidP="00E8284E">
            <w:pPr>
              <w:rPr>
                <w:sz w:val="20"/>
                <w:szCs w:val="20"/>
              </w:rPr>
            </w:pPr>
            <w:r w:rsidRPr="007766DC">
              <w:rPr>
                <w:sz w:val="20"/>
                <w:szCs w:val="20"/>
              </w:rPr>
              <w:t xml:space="preserve">Ongoing:  Individual faculty members at conclusion of case review process. </w:t>
            </w:r>
          </w:p>
        </w:tc>
        <w:tc>
          <w:tcPr>
            <w:tcW w:w="757" w:type="pct"/>
            <w:vAlign w:val="center"/>
          </w:tcPr>
          <w:p w:rsidR="00E8284E" w:rsidRPr="0094303B" w:rsidRDefault="00E8284E" w:rsidP="00E8284E">
            <w:pPr>
              <w:pStyle w:val="ListParagraph"/>
              <w:ind w:left="0"/>
              <w:rPr>
                <w:sz w:val="21"/>
                <w:szCs w:val="21"/>
              </w:rPr>
            </w:pPr>
            <w:r w:rsidRPr="0094303B">
              <w:rPr>
                <w:sz w:val="21"/>
                <w:szCs w:val="21"/>
              </w:rPr>
              <w:t xml:space="preserve">Director,  J.D. </w:t>
            </w:r>
          </w:p>
        </w:tc>
        <w:tc>
          <w:tcPr>
            <w:tcW w:w="851" w:type="pct"/>
            <w:vMerge w:val="restart"/>
            <w:vAlign w:val="center"/>
          </w:tcPr>
          <w:p w:rsidR="00E8284E" w:rsidRPr="007766DC" w:rsidRDefault="00E8284E" w:rsidP="00E8284E">
            <w:pPr>
              <w:rPr>
                <w:sz w:val="20"/>
                <w:szCs w:val="20"/>
              </w:rPr>
            </w:pPr>
            <w:r w:rsidRPr="007766DC">
              <w:rPr>
                <w:sz w:val="20"/>
                <w:szCs w:val="20"/>
              </w:rPr>
              <w:t>2015-16</w:t>
            </w:r>
          </w:p>
        </w:tc>
      </w:tr>
      <w:tr w:rsidR="00E8284E" w:rsidTr="009D4FBF">
        <w:trPr>
          <w:trHeight w:val="881"/>
        </w:trPr>
        <w:tc>
          <w:tcPr>
            <w:tcW w:w="830" w:type="pct"/>
            <w:vMerge/>
          </w:tcPr>
          <w:p w:rsidR="00E8284E" w:rsidRPr="00E8284E" w:rsidRDefault="00E8284E" w:rsidP="00E8284E">
            <w:pPr>
              <w:rPr>
                <w:sz w:val="20"/>
                <w:szCs w:val="20"/>
              </w:rPr>
            </w:pPr>
          </w:p>
        </w:tc>
        <w:tc>
          <w:tcPr>
            <w:tcW w:w="1497" w:type="pct"/>
            <w:vAlign w:val="center"/>
          </w:tcPr>
          <w:p w:rsidR="00E8284E" w:rsidRPr="00E8284E" w:rsidRDefault="00E8284E" w:rsidP="00E8284E">
            <w:pPr>
              <w:rPr>
                <w:sz w:val="20"/>
                <w:szCs w:val="20"/>
              </w:rPr>
            </w:pPr>
            <w:r w:rsidRPr="00E8284E">
              <w:rPr>
                <w:sz w:val="20"/>
                <w:szCs w:val="20"/>
              </w:rPr>
              <w:t xml:space="preserve">0% of dossiers are returned because they are </w:t>
            </w:r>
            <w:r w:rsidRPr="00E8284E">
              <w:rPr>
                <w:color w:val="8064A2" w:themeColor="accent4"/>
                <w:sz w:val="20"/>
                <w:szCs w:val="20"/>
              </w:rPr>
              <w:t xml:space="preserve">incomplete or otherwise do not meet the requirements of policy or practice.   </w:t>
            </w:r>
          </w:p>
        </w:tc>
        <w:tc>
          <w:tcPr>
            <w:tcW w:w="433" w:type="pct"/>
            <w:vAlign w:val="center"/>
          </w:tcPr>
          <w:p w:rsidR="00E8284E" w:rsidRPr="00E8284E" w:rsidRDefault="00E8284E" w:rsidP="00E8284E">
            <w:pPr>
              <w:rPr>
                <w:sz w:val="20"/>
                <w:szCs w:val="20"/>
              </w:rPr>
            </w:pPr>
            <w:r w:rsidRPr="00E8284E">
              <w:rPr>
                <w:sz w:val="20"/>
                <w:szCs w:val="20"/>
              </w:rPr>
              <w:t>Case log</w:t>
            </w:r>
          </w:p>
        </w:tc>
        <w:tc>
          <w:tcPr>
            <w:tcW w:w="632" w:type="pct"/>
            <w:vAlign w:val="center"/>
          </w:tcPr>
          <w:p w:rsidR="00E8284E" w:rsidRPr="00E8284E" w:rsidRDefault="00E8284E" w:rsidP="00E8284E">
            <w:pPr>
              <w:rPr>
                <w:sz w:val="20"/>
                <w:szCs w:val="20"/>
              </w:rPr>
            </w:pPr>
            <w:r w:rsidRPr="00E8284E">
              <w:rPr>
                <w:sz w:val="20"/>
                <w:szCs w:val="20"/>
              </w:rPr>
              <w:t xml:space="preserve">Ongoing. </w:t>
            </w:r>
          </w:p>
        </w:tc>
        <w:tc>
          <w:tcPr>
            <w:tcW w:w="757" w:type="pct"/>
            <w:vAlign w:val="center"/>
          </w:tcPr>
          <w:p w:rsidR="00E8284E" w:rsidRPr="0094303B" w:rsidRDefault="00E8284E" w:rsidP="00E8284E">
            <w:pPr>
              <w:pStyle w:val="ListParagraph"/>
              <w:ind w:left="0"/>
              <w:rPr>
                <w:sz w:val="21"/>
                <w:szCs w:val="21"/>
              </w:rPr>
            </w:pPr>
            <w:r w:rsidRPr="0094303B">
              <w:rPr>
                <w:sz w:val="21"/>
                <w:szCs w:val="21"/>
              </w:rPr>
              <w:t xml:space="preserve">Analyst, B.P. </w:t>
            </w:r>
          </w:p>
        </w:tc>
        <w:tc>
          <w:tcPr>
            <w:tcW w:w="851" w:type="pct"/>
            <w:vMerge/>
          </w:tcPr>
          <w:p w:rsidR="00E8284E" w:rsidRPr="00E8284E" w:rsidRDefault="00E8284E" w:rsidP="00E8284E">
            <w:pPr>
              <w:rPr>
                <w:sz w:val="20"/>
                <w:szCs w:val="20"/>
              </w:rPr>
            </w:pPr>
          </w:p>
        </w:tc>
      </w:tr>
      <w:tr w:rsidR="00E8284E" w:rsidTr="009D4FBF">
        <w:trPr>
          <w:trHeight w:val="989"/>
        </w:trPr>
        <w:tc>
          <w:tcPr>
            <w:tcW w:w="830" w:type="pct"/>
            <w:vMerge/>
          </w:tcPr>
          <w:p w:rsidR="00E8284E" w:rsidRPr="00E8284E" w:rsidRDefault="00E8284E" w:rsidP="00E8284E">
            <w:pPr>
              <w:rPr>
                <w:sz w:val="20"/>
                <w:szCs w:val="20"/>
              </w:rPr>
            </w:pPr>
          </w:p>
        </w:tc>
        <w:tc>
          <w:tcPr>
            <w:tcW w:w="1497" w:type="pct"/>
            <w:vAlign w:val="center"/>
          </w:tcPr>
          <w:p w:rsidR="00E8284E" w:rsidRPr="00E8284E" w:rsidRDefault="00E8284E" w:rsidP="00E8284E">
            <w:pPr>
              <w:rPr>
                <w:sz w:val="20"/>
                <w:szCs w:val="20"/>
              </w:rPr>
            </w:pPr>
            <w:r w:rsidRPr="00E8284E">
              <w:rPr>
                <w:sz w:val="20"/>
                <w:szCs w:val="20"/>
              </w:rPr>
              <w:t xml:space="preserve">95% of cases are submitted, reviewed and decisions rendered </w:t>
            </w:r>
            <w:r w:rsidRPr="00E8284E">
              <w:rPr>
                <w:color w:val="8064A2" w:themeColor="accent4"/>
                <w:sz w:val="20"/>
                <w:szCs w:val="20"/>
              </w:rPr>
              <w:t>in keeping with established timelines</w:t>
            </w:r>
            <w:r w:rsidRPr="00E8284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33" w:type="pct"/>
            <w:vAlign w:val="center"/>
          </w:tcPr>
          <w:p w:rsidR="00E8284E" w:rsidRPr="00E8284E" w:rsidRDefault="00E8284E" w:rsidP="00E8284E">
            <w:pPr>
              <w:rPr>
                <w:sz w:val="20"/>
                <w:szCs w:val="20"/>
              </w:rPr>
            </w:pPr>
            <w:r w:rsidRPr="00E8284E">
              <w:rPr>
                <w:sz w:val="20"/>
                <w:szCs w:val="20"/>
              </w:rPr>
              <w:t>Case log</w:t>
            </w:r>
          </w:p>
        </w:tc>
        <w:tc>
          <w:tcPr>
            <w:tcW w:w="632" w:type="pct"/>
            <w:vAlign w:val="center"/>
          </w:tcPr>
          <w:p w:rsidR="00E8284E" w:rsidRPr="00E8284E" w:rsidRDefault="00E8284E" w:rsidP="00E8284E">
            <w:pPr>
              <w:rPr>
                <w:sz w:val="20"/>
                <w:szCs w:val="20"/>
              </w:rPr>
            </w:pPr>
            <w:r w:rsidRPr="00E8284E">
              <w:rPr>
                <w:sz w:val="20"/>
                <w:szCs w:val="20"/>
              </w:rPr>
              <w:t>Ongoing.</w:t>
            </w:r>
          </w:p>
        </w:tc>
        <w:tc>
          <w:tcPr>
            <w:tcW w:w="757" w:type="pct"/>
            <w:vAlign w:val="center"/>
          </w:tcPr>
          <w:p w:rsidR="00E8284E" w:rsidRPr="0094303B" w:rsidRDefault="00E8284E" w:rsidP="00E8284E">
            <w:pPr>
              <w:pStyle w:val="ListParagraph"/>
              <w:ind w:left="0"/>
              <w:rPr>
                <w:sz w:val="21"/>
                <w:szCs w:val="21"/>
              </w:rPr>
            </w:pPr>
            <w:r w:rsidRPr="0094303B">
              <w:rPr>
                <w:sz w:val="21"/>
                <w:szCs w:val="21"/>
              </w:rPr>
              <w:t xml:space="preserve">Specialist, J.D., </w:t>
            </w:r>
          </w:p>
        </w:tc>
        <w:tc>
          <w:tcPr>
            <w:tcW w:w="851" w:type="pct"/>
            <w:vMerge/>
          </w:tcPr>
          <w:p w:rsidR="00E8284E" w:rsidRPr="009D4FBF" w:rsidRDefault="00E8284E" w:rsidP="00E8284E">
            <w:pPr>
              <w:rPr>
                <w:sz w:val="20"/>
                <w:szCs w:val="20"/>
                <w:rPrChange w:id="1" w:author="lmartin" w:date="2015-09-15T08:56:00Z">
                  <w:rPr/>
                </w:rPrChange>
              </w:rPr>
            </w:pPr>
          </w:p>
        </w:tc>
      </w:tr>
      <w:tr w:rsidR="009D4FBF" w:rsidTr="007766DC">
        <w:tc>
          <w:tcPr>
            <w:tcW w:w="830" w:type="pct"/>
          </w:tcPr>
          <w:p w:rsidR="009D4FBF" w:rsidRDefault="009D4FBF" w:rsidP="007766DC">
            <w:pPr>
              <w:pStyle w:val="ListParagraph"/>
              <w:numPr>
                <w:ilvl w:val="0"/>
                <w:numId w:val="5"/>
              </w:numPr>
              <w:ind w:left="337" w:hanging="337"/>
            </w:pPr>
            <w:r>
              <w:t>……</w:t>
            </w:r>
          </w:p>
        </w:tc>
        <w:tc>
          <w:tcPr>
            <w:tcW w:w="1497" w:type="pct"/>
          </w:tcPr>
          <w:p w:rsidR="009D4FBF" w:rsidRDefault="009D4FBF" w:rsidP="009D4FBF"/>
        </w:tc>
        <w:tc>
          <w:tcPr>
            <w:tcW w:w="433" w:type="pct"/>
          </w:tcPr>
          <w:p w:rsidR="009D4FBF" w:rsidRDefault="009D4FBF" w:rsidP="009D4FBF"/>
        </w:tc>
        <w:tc>
          <w:tcPr>
            <w:tcW w:w="632" w:type="pct"/>
          </w:tcPr>
          <w:p w:rsidR="009D4FBF" w:rsidRDefault="009D4FBF" w:rsidP="009D4FBF"/>
        </w:tc>
        <w:tc>
          <w:tcPr>
            <w:tcW w:w="757" w:type="pct"/>
          </w:tcPr>
          <w:p w:rsidR="009D4FBF" w:rsidRDefault="009D4FBF" w:rsidP="009D4FBF"/>
        </w:tc>
        <w:tc>
          <w:tcPr>
            <w:tcW w:w="851" w:type="pct"/>
          </w:tcPr>
          <w:p w:rsidR="009D4FBF" w:rsidRPr="007766DC" w:rsidRDefault="009D4FBF" w:rsidP="009D4FBF">
            <w:pPr>
              <w:rPr>
                <w:sz w:val="20"/>
                <w:szCs w:val="20"/>
              </w:rPr>
            </w:pPr>
            <w:r w:rsidRPr="007766DC">
              <w:rPr>
                <w:sz w:val="20"/>
                <w:szCs w:val="20"/>
              </w:rPr>
              <w:t>2016-17</w:t>
            </w:r>
          </w:p>
        </w:tc>
      </w:tr>
    </w:tbl>
    <w:p w:rsidR="0017032B" w:rsidRPr="007766DC" w:rsidRDefault="009D4FBF" w:rsidP="007766DC">
      <w:pPr>
        <w:rPr>
          <w:b/>
        </w:rPr>
      </w:pPr>
      <w:r w:rsidRPr="007766DC">
        <w:rPr>
          <w:b/>
        </w:rPr>
        <w:t xml:space="preserve">Example Multi-year Assessment Plan </w:t>
      </w:r>
    </w:p>
    <w:sectPr w:rsidR="0017032B" w:rsidRPr="007766DC" w:rsidSect="007766DC">
      <w:pgSz w:w="15840" w:h="12240" w:orient="landscape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248" w:rsidRDefault="00913248" w:rsidP="000A3F1D">
      <w:pPr>
        <w:spacing w:after="0" w:line="240" w:lineRule="auto"/>
      </w:pPr>
      <w:r>
        <w:separator/>
      </w:r>
    </w:p>
  </w:endnote>
  <w:endnote w:type="continuationSeparator" w:id="0">
    <w:p w:rsidR="00913248" w:rsidRDefault="00913248" w:rsidP="000A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248" w:rsidRDefault="00913248" w:rsidP="000A3F1D">
      <w:pPr>
        <w:spacing w:after="0" w:line="240" w:lineRule="auto"/>
      </w:pPr>
      <w:r>
        <w:separator/>
      </w:r>
    </w:p>
  </w:footnote>
  <w:footnote w:type="continuationSeparator" w:id="0">
    <w:p w:rsidR="00913248" w:rsidRDefault="00913248" w:rsidP="000A3F1D">
      <w:pPr>
        <w:spacing w:after="0" w:line="240" w:lineRule="auto"/>
      </w:pPr>
      <w:r>
        <w:continuationSeparator/>
      </w:r>
    </w:p>
  </w:footnote>
  <w:footnote w:id="1">
    <w:p w:rsidR="00896D83" w:rsidRDefault="00896D83" w:rsidP="00896D83">
      <w:pPr>
        <w:pStyle w:val="FootnoteText"/>
      </w:pPr>
      <w:r>
        <w:rPr>
          <w:rStyle w:val="FootnoteReference"/>
        </w:rPr>
        <w:footnoteRef/>
      </w:r>
      <w:r>
        <w:t xml:space="preserve"> Consider developing a mission after completing step 3 of this document. </w:t>
      </w:r>
    </w:p>
  </w:footnote>
  <w:footnote w:id="2">
    <w:p w:rsidR="00896D83" w:rsidRDefault="00896D83" w:rsidP="00896D83">
      <w:pPr>
        <w:pStyle w:val="FootnoteText"/>
      </w:pPr>
      <w:r>
        <w:rPr>
          <w:rStyle w:val="FootnoteReference"/>
        </w:rPr>
        <w:footnoteRef/>
      </w:r>
      <w:r>
        <w:t xml:space="preserve"> Appendix A. </w:t>
      </w:r>
      <w:hyperlink r:id="rId1" w:history="1">
        <w:r w:rsidRPr="000A3F1D">
          <w:rPr>
            <w:rStyle w:val="Hyperlink"/>
          </w:rPr>
          <w:t>UC Merced Policy for Annual Assessment and Periodic Review of Administrative Units</w:t>
        </w:r>
      </w:hyperlink>
      <w:r>
        <w:t>.</w:t>
      </w:r>
    </w:p>
  </w:footnote>
  <w:footnote w:id="3">
    <w:p w:rsidR="000A3F1D" w:rsidRDefault="000A3F1D" w:rsidP="000A3F1D">
      <w:pPr>
        <w:pStyle w:val="FootnoteText"/>
      </w:pPr>
      <w:r>
        <w:rPr>
          <w:rStyle w:val="FootnoteReference"/>
        </w:rPr>
        <w:footnoteRef/>
      </w:r>
      <w:r>
        <w:t xml:space="preserve"> Appendix A. </w:t>
      </w:r>
      <w:hyperlink r:id="rId2" w:history="1">
        <w:r w:rsidRPr="000A3F1D">
          <w:rPr>
            <w:rStyle w:val="Hyperlink"/>
          </w:rPr>
          <w:t>UC Merced Policy for Annual Assessment and Periodic Review of Administrative Units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84E" w:rsidRDefault="00E8284E">
    <w:pPr>
      <w:pStyle w:val="Header"/>
    </w:pPr>
    <w:r>
      <w:t>Revised 9/17/2015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3B20"/>
    <w:multiLevelType w:val="hybridMultilevel"/>
    <w:tmpl w:val="00C4C3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5C2B"/>
    <w:multiLevelType w:val="hybridMultilevel"/>
    <w:tmpl w:val="C23E66D0"/>
    <w:lvl w:ilvl="0" w:tplc="C62AE7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2AF2"/>
    <w:multiLevelType w:val="hybridMultilevel"/>
    <w:tmpl w:val="F6B4E184"/>
    <w:lvl w:ilvl="0" w:tplc="9044EF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430FD9"/>
    <w:multiLevelType w:val="hybridMultilevel"/>
    <w:tmpl w:val="7A00B4D8"/>
    <w:lvl w:ilvl="0" w:tplc="F25C73C2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B251A"/>
    <w:multiLevelType w:val="hybridMultilevel"/>
    <w:tmpl w:val="51EE6F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martin">
    <w15:presenceInfo w15:providerId="None" w15:userId="l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2B"/>
    <w:rsid w:val="000223AE"/>
    <w:rsid w:val="00081D3D"/>
    <w:rsid w:val="00092D12"/>
    <w:rsid w:val="000A3F1D"/>
    <w:rsid w:val="000B6826"/>
    <w:rsid w:val="000C093D"/>
    <w:rsid w:val="000D569B"/>
    <w:rsid w:val="00107222"/>
    <w:rsid w:val="00120E82"/>
    <w:rsid w:val="00160237"/>
    <w:rsid w:val="0017032B"/>
    <w:rsid w:val="001D778C"/>
    <w:rsid w:val="001F5FDF"/>
    <w:rsid w:val="00233F97"/>
    <w:rsid w:val="00237A55"/>
    <w:rsid w:val="002A1D49"/>
    <w:rsid w:val="002C6DE3"/>
    <w:rsid w:val="003167A9"/>
    <w:rsid w:val="003377C4"/>
    <w:rsid w:val="003C385F"/>
    <w:rsid w:val="00414C36"/>
    <w:rsid w:val="00486597"/>
    <w:rsid w:val="004D2E73"/>
    <w:rsid w:val="004F4771"/>
    <w:rsid w:val="005A1E23"/>
    <w:rsid w:val="00685548"/>
    <w:rsid w:val="007001F6"/>
    <w:rsid w:val="0070576D"/>
    <w:rsid w:val="007153E7"/>
    <w:rsid w:val="00746107"/>
    <w:rsid w:val="00767C8F"/>
    <w:rsid w:val="00773674"/>
    <w:rsid w:val="007766DC"/>
    <w:rsid w:val="007D5B55"/>
    <w:rsid w:val="0081172F"/>
    <w:rsid w:val="008508BF"/>
    <w:rsid w:val="00896D83"/>
    <w:rsid w:val="008A3AFD"/>
    <w:rsid w:val="008C5109"/>
    <w:rsid w:val="00913248"/>
    <w:rsid w:val="00942965"/>
    <w:rsid w:val="0094303B"/>
    <w:rsid w:val="009A2310"/>
    <w:rsid w:val="009D4FBF"/>
    <w:rsid w:val="00A621B5"/>
    <w:rsid w:val="00A65AC1"/>
    <w:rsid w:val="00A77835"/>
    <w:rsid w:val="00A91214"/>
    <w:rsid w:val="00AA19EB"/>
    <w:rsid w:val="00AE5D44"/>
    <w:rsid w:val="00B52A96"/>
    <w:rsid w:val="00B579CD"/>
    <w:rsid w:val="00C00E69"/>
    <w:rsid w:val="00C323DA"/>
    <w:rsid w:val="00CA5214"/>
    <w:rsid w:val="00CC2F9C"/>
    <w:rsid w:val="00CF5DCB"/>
    <w:rsid w:val="00D04B8D"/>
    <w:rsid w:val="00D145FF"/>
    <w:rsid w:val="00DB430B"/>
    <w:rsid w:val="00DB6EFA"/>
    <w:rsid w:val="00E139D2"/>
    <w:rsid w:val="00E67D4B"/>
    <w:rsid w:val="00E8284E"/>
    <w:rsid w:val="00F35BA4"/>
    <w:rsid w:val="00F43B59"/>
    <w:rsid w:val="00F55AE1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B168B3-3CBD-4B04-82F3-7CC6E93C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FD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A3F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F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3F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A3F1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2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6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55AE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0722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84E"/>
  </w:style>
  <w:style w:type="paragraph" w:styleId="Footer">
    <w:name w:val="footer"/>
    <w:basedOn w:val="Normal"/>
    <w:link w:val="FooterChar"/>
    <w:uiPriority w:val="99"/>
    <w:unhideWhenUsed/>
    <w:rsid w:val="00E82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sessment.ucmerced.edu/node/86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ssessment.ucmerced.edu/node/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sessment.ucmerced.edu/node/86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assessment.ucmerced.edu/sites/assessment.ucmerced.edu/files/page/documents/admin_annual_assessment_periodic_review_policy_7.22.11_post_0.pdf" TargetMode="External"/><Relationship Id="rId1" Type="http://schemas.openxmlformats.org/officeDocument/2006/relationships/hyperlink" Target="http://assessment.ucmerced.edu/sites/assessment.ucmerced.edu/files/page/documents/admin_annual_assessment_periodic_review_policy_7.22.11_post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A6DCB-C0D2-4145-A682-4A7F1296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Martin</dc:creator>
  <cp:lastModifiedBy>lmartin</cp:lastModifiedBy>
  <cp:revision>4</cp:revision>
  <cp:lastPrinted>2013-07-08T20:18:00Z</cp:lastPrinted>
  <dcterms:created xsi:type="dcterms:W3CDTF">2015-09-17T15:55:00Z</dcterms:created>
  <dcterms:modified xsi:type="dcterms:W3CDTF">2016-03-22T19:24:00Z</dcterms:modified>
</cp:coreProperties>
</file>